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大标宋简体" w:hAnsi="Times New Roman" w:eastAsia="方正大标宋简体" w:cs="Times New Roman"/>
          <w:kern w:val="0"/>
          <w:sz w:val="44"/>
          <w:szCs w:val="44"/>
        </w:rPr>
      </w:pPr>
    </w:p>
    <w:p>
      <w:pPr>
        <w:spacing w:line="600" w:lineRule="exact"/>
        <w:jc w:val="center"/>
        <w:rPr>
          <w:rFonts w:ascii="方正大标宋简体" w:hAnsi="Times New Roman" w:eastAsia="方正大标宋简体" w:cs="Times New Roman"/>
          <w:kern w:val="0"/>
          <w:sz w:val="44"/>
          <w:szCs w:val="44"/>
        </w:rPr>
      </w:pPr>
      <w:bookmarkStart w:id="0" w:name="_Hlk178002122"/>
      <w:r>
        <w:rPr>
          <w:rFonts w:hint="eastAsia" w:ascii="方正大标宋简体" w:hAnsi="Times New Roman" w:eastAsia="方正大标宋简体" w:cs="Times New Roman"/>
          <w:kern w:val="0"/>
          <w:sz w:val="44"/>
          <w:szCs w:val="44"/>
        </w:rPr>
        <w:t>南通市生物医药专业数据库服务项目</w:t>
      </w:r>
      <w:bookmarkEnd w:id="0"/>
    </w:p>
    <w:p>
      <w:pPr>
        <w:spacing w:line="600" w:lineRule="exact"/>
        <w:jc w:val="center"/>
        <w:rPr>
          <w:rFonts w:ascii="方正大标宋简体" w:hAnsi="Times New Roman" w:eastAsia="方正大标宋简体" w:cs="Times New Roman"/>
          <w:kern w:val="0"/>
          <w:sz w:val="44"/>
          <w:szCs w:val="44"/>
        </w:rPr>
      </w:pPr>
      <w:r>
        <w:rPr>
          <w:rFonts w:hint="eastAsia" w:ascii="方正大标宋简体" w:hAnsi="Times New Roman" w:eastAsia="方正大标宋简体" w:cs="Times New Roman"/>
          <w:kern w:val="0"/>
          <w:sz w:val="44"/>
          <w:szCs w:val="44"/>
        </w:rPr>
        <w:t>竞争性磋商公告</w:t>
      </w:r>
    </w:p>
    <w:p>
      <w:pPr>
        <w:spacing w:line="600" w:lineRule="exact"/>
        <w:rPr>
          <w:rFonts w:ascii="仿宋_GB2312" w:hAnsi="Times New Roman" w:eastAsia="仿宋_GB2312" w:cs="Times New Roman"/>
          <w:kern w:val="0"/>
          <w:sz w:val="32"/>
          <w:szCs w:val="32"/>
        </w:rPr>
      </w:pP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南通市生物医药专业数据库服务项目以竞争性磋商方式组织采购。现公告如下：</w:t>
      </w:r>
    </w:p>
    <w:p>
      <w:pPr>
        <w:widowControl/>
        <w:shd w:val="clear" w:color="auto" w:fill="FFFFFF"/>
        <w:spacing w:line="56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项目概况</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南通市生物医药专业数据库服务项目的潜在供应商应在“南通市科学技术局官网”获取采购文件。</w:t>
      </w:r>
    </w:p>
    <w:p>
      <w:pPr>
        <w:spacing w:line="60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一、项目信息</w:t>
      </w:r>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项目名称：</w:t>
      </w:r>
      <w:bookmarkStart w:id="1" w:name="_Hlk180078950"/>
      <w:r>
        <w:rPr>
          <w:rFonts w:hint="eastAsia" w:ascii="仿宋_GB2312" w:hAnsi="仿宋_GB2312" w:eastAsia="仿宋_GB2312" w:cs="仿宋_GB2312"/>
          <w:kern w:val="0"/>
          <w:sz w:val="32"/>
          <w:szCs w:val="32"/>
        </w:rPr>
        <w:t>南通市生物医药专业数据库服务项目</w:t>
      </w:r>
      <w:bookmarkEnd w:id="1"/>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采购方式：竞争性磋商</w:t>
      </w:r>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预算金额：</w:t>
      </w:r>
      <w:r>
        <w:rPr>
          <w:rFonts w:ascii="仿宋_GB2312" w:hAnsi="仿宋_GB2312" w:eastAsia="仿宋_GB2312" w:cs="仿宋_GB2312"/>
          <w:kern w:val="0"/>
          <w:sz w:val="32"/>
          <w:szCs w:val="32"/>
        </w:rPr>
        <w:t>4.9</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b/>
          <w:bCs/>
          <w:kern w:val="0"/>
          <w:sz w:val="32"/>
          <w:szCs w:val="32"/>
        </w:rPr>
        <w:t>超过采购预算的为无效响应文件</w:t>
      </w:r>
      <w:r>
        <w:rPr>
          <w:rFonts w:hint="eastAsia" w:ascii="仿宋_GB2312" w:hAnsi="仿宋_GB2312" w:eastAsia="仿宋_GB2312" w:cs="仿宋_GB2312"/>
          <w:kern w:val="0"/>
          <w:sz w:val="32"/>
          <w:szCs w:val="32"/>
        </w:rPr>
        <w:t>。</w:t>
      </w:r>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采购需求：详见附件2第二部分。</w:t>
      </w:r>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本项目不接受联合体。</w:t>
      </w:r>
    </w:p>
    <w:p>
      <w:pPr>
        <w:spacing w:line="60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二、供应商资质要求</w:t>
      </w:r>
    </w:p>
    <w:p>
      <w:pPr>
        <w:spacing w:line="600" w:lineRule="exact"/>
        <w:ind w:firstLine="640" w:firstLineChars="200"/>
        <w:jc w:val="left"/>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rPr>
        <w:t>1.满足《中华人民共和国政府采购法》第二十二条规定</w:t>
      </w:r>
      <w:r>
        <w:rPr>
          <w:rFonts w:hint="eastAsia" w:ascii="仿宋_GB2312" w:hAnsi="仿宋_GB2312" w:eastAsia="仿宋_GB2312" w:cs="仿宋_GB2312"/>
          <w:kern w:val="0"/>
          <w:sz w:val="32"/>
          <w:szCs w:val="32"/>
        </w:rPr>
        <w:t>：</w:t>
      </w:r>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（1）法人或者其他组织的营业执照等证明文件；</w:t>
      </w:r>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（2）上一年度的财务状况报告（成立不满一年不需提供）；</w:t>
      </w:r>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（3）依法缴纳税收和社会保障资金的相关材料；</w:t>
      </w:r>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（4）具备履行合同所必需的设备和专业技术能力的证明材料；</w:t>
      </w:r>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（5）参加政府采购活动前3年内在经营活动中没有重大违法记录的书面声明。</w:t>
      </w:r>
    </w:p>
    <w:p>
      <w:pPr>
        <w:spacing w:line="600" w:lineRule="exact"/>
        <w:ind w:firstLine="640" w:firstLineChars="200"/>
        <w:jc w:val="left"/>
        <w:rPr>
          <w:rFonts w:ascii="楷体_GB2312" w:hAnsi="仿宋_GB2312" w:eastAsia="楷体_GB2312" w:cs="仿宋_GB2312"/>
          <w:kern w:val="0"/>
          <w:sz w:val="32"/>
          <w:szCs w:val="32"/>
        </w:rPr>
      </w:pPr>
      <w:r>
        <w:rPr>
          <w:rFonts w:hint="eastAsia" w:ascii="楷体_GB2312" w:hAnsi="仿宋_GB2312" w:eastAsia="楷体_GB2312" w:cs="仿宋_GB2312"/>
          <w:kern w:val="0"/>
          <w:sz w:val="32"/>
          <w:szCs w:val="32"/>
        </w:rPr>
        <w:t>2.本项目的特定资格要求：</w:t>
      </w:r>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（1）供应商未被“信用中国”网站（www.creditchina.gov.cn）列入失信被执行人、重大税收违法案件当事人名单、政府采购严重失信行为记录名单。</w:t>
      </w:r>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（2）不接受联合体投标。</w:t>
      </w:r>
    </w:p>
    <w:p>
      <w:pPr>
        <w:spacing w:line="60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三、获取采购文件和供应商响应</w:t>
      </w:r>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时间：202</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年1</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24</w:t>
      </w:r>
      <w:r>
        <w:rPr>
          <w:rFonts w:hint="eastAsia" w:ascii="仿宋_GB2312" w:hAnsi="仿宋_GB2312" w:eastAsia="仿宋_GB2312" w:cs="仿宋_GB2312"/>
          <w:kern w:val="0"/>
          <w:sz w:val="32"/>
          <w:szCs w:val="32"/>
        </w:rPr>
        <w:t>日至202</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年1</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30</w:t>
      </w:r>
      <w:r>
        <w:rPr>
          <w:rFonts w:hint="eastAsia" w:ascii="仿宋_GB2312" w:hAnsi="仿宋_GB2312" w:eastAsia="仿宋_GB2312" w:cs="仿宋_GB2312"/>
          <w:kern w:val="0"/>
          <w:sz w:val="32"/>
          <w:szCs w:val="32"/>
        </w:rPr>
        <w:t>日，每天上午9:00至11:30，下午13:30至17:00（北京时间，法定节假日除外）</w:t>
      </w:r>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地点：南通市崇川区崇川路58号</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幢</w:t>
      </w:r>
      <w:r>
        <w:rPr>
          <w:rFonts w:ascii="仿宋_GB2312" w:hAnsi="仿宋_GB2312" w:eastAsia="仿宋_GB2312" w:cs="仿宋_GB2312"/>
          <w:kern w:val="0"/>
          <w:sz w:val="32"/>
          <w:szCs w:val="32"/>
        </w:rPr>
        <w:t>312</w:t>
      </w:r>
      <w:r>
        <w:rPr>
          <w:rFonts w:hint="eastAsia" w:ascii="仿宋_GB2312" w:hAnsi="仿宋_GB2312" w:eastAsia="仿宋_GB2312" w:cs="仿宋_GB2312"/>
          <w:kern w:val="0"/>
          <w:sz w:val="32"/>
          <w:szCs w:val="32"/>
        </w:rPr>
        <w:t>室</w:t>
      </w:r>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方式：线上。联系人：陈先生，电话：0513-55018</w:t>
      </w:r>
      <w:r>
        <w:rPr>
          <w:rFonts w:ascii="仿宋_GB2312" w:hAnsi="仿宋_GB2312" w:eastAsia="仿宋_GB2312" w:cs="仿宋_GB2312"/>
          <w:kern w:val="0"/>
          <w:sz w:val="32"/>
          <w:szCs w:val="32"/>
        </w:rPr>
        <w:t>895</w:t>
      </w:r>
      <w:r>
        <w:rPr>
          <w:rFonts w:hint="eastAsia" w:ascii="仿宋_GB2312" w:hAnsi="仿宋_GB2312" w:eastAsia="仿宋_GB2312" w:cs="仿宋_GB2312"/>
          <w:kern w:val="0"/>
          <w:sz w:val="32"/>
          <w:szCs w:val="32"/>
        </w:rPr>
        <w:t>，将投标意向报名表（附件1）加盖公章，扫描件发至邮箱</w:t>
      </w:r>
      <w:r>
        <w:rPr>
          <w:rFonts w:ascii="仿宋_GB2312" w:hAnsi="仿宋_GB2312" w:eastAsia="仿宋_GB2312" w:cs="仿宋_GB2312"/>
          <w:kern w:val="0"/>
          <w:sz w:val="32"/>
          <w:szCs w:val="32"/>
        </w:rPr>
        <w:t>kjjxtc@163.com</w:t>
      </w:r>
      <w:r>
        <w:rPr>
          <w:rFonts w:hint="eastAsia" w:ascii="仿宋_GB2312" w:hAnsi="仿宋_GB2312" w:eastAsia="仿宋_GB2312" w:cs="仿宋_GB2312"/>
          <w:kern w:val="0"/>
          <w:sz w:val="32"/>
          <w:szCs w:val="32"/>
        </w:rPr>
        <w:t>。邮件主题“项目名称+单位名称”，邮件内容应包含单位名称全称、联系人、职务、联系电话等，邮件附件命名“附件1投标意向报名表，附件2 营业执照或法人证书”。响应截止时间为202</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年1</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30</w:t>
      </w:r>
      <w:r>
        <w:rPr>
          <w:rFonts w:hint="eastAsia" w:ascii="仿宋_GB2312" w:hAnsi="仿宋_GB2312" w:eastAsia="仿宋_GB2312" w:cs="仿宋_GB2312"/>
          <w:kern w:val="0"/>
          <w:sz w:val="32"/>
          <w:szCs w:val="32"/>
        </w:rPr>
        <w:t>日17:00时。逾期不可响应。</w:t>
      </w:r>
    </w:p>
    <w:p>
      <w:pPr>
        <w:spacing w:line="60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四、评标时间</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截止时间：202</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11</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11</w:t>
      </w:r>
      <w:r>
        <w:rPr>
          <w:rFonts w:hint="eastAsia" w:ascii="仿宋_GB2312" w:hAnsi="仿宋_GB2312" w:eastAsia="仿宋_GB2312" w:cs="仿宋_GB2312"/>
          <w:kern w:val="0"/>
          <w:sz w:val="32"/>
          <w:szCs w:val="32"/>
        </w:rPr>
        <w:t>日</w:t>
      </w:r>
      <w:r>
        <w:rPr>
          <w:rFonts w:ascii="仿宋_GB2312" w:hAnsi="仿宋_GB2312" w:eastAsia="仿宋_GB2312" w:cs="仿宋_GB2312"/>
          <w:kern w:val="0"/>
          <w:sz w:val="32"/>
          <w:szCs w:val="32"/>
        </w:rPr>
        <w:t>14</w:t>
      </w:r>
      <w:r>
        <w:rPr>
          <w:rFonts w:hint="eastAsia" w:ascii="仿宋_GB2312" w:hAnsi="仿宋_GB2312" w:eastAsia="仿宋_GB2312" w:cs="仿宋_GB2312"/>
          <w:kern w:val="0"/>
          <w:sz w:val="32"/>
          <w:szCs w:val="32"/>
        </w:rPr>
        <w:t>时</w:t>
      </w:r>
      <w:r>
        <w:rPr>
          <w:rFonts w:ascii="仿宋_GB2312" w:hAnsi="仿宋_GB2312" w:eastAsia="仿宋_GB2312" w:cs="仿宋_GB2312"/>
          <w:kern w:val="0"/>
          <w:sz w:val="32"/>
          <w:szCs w:val="32"/>
        </w:rPr>
        <w:t>00</w:t>
      </w:r>
      <w:r>
        <w:rPr>
          <w:rFonts w:hint="eastAsia" w:ascii="仿宋_GB2312" w:hAnsi="仿宋_GB2312" w:eastAsia="仿宋_GB2312" w:cs="仿宋_GB2312"/>
          <w:kern w:val="0"/>
          <w:sz w:val="32"/>
          <w:szCs w:val="32"/>
        </w:rPr>
        <w:t>分（北京时间）</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地点：南通市崇川区崇川路58号</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幢</w:t>
      </w:r>
      <w:r>
        <w:rPr>
          <w:rFonts w:ascii="仿宋_GB2312" w:hAnsi="仿宋_GB2312" w:eastAsia="仿宋_GB2312" w:cs="仿宋_GB2312"/>
          <w:kern w:val="0"/>
          <w:sz w:val="32"/>
          <w:szCs w:val="32"/>
        </w:rPr>
        <w:t>402</w:t>
      </w:r>
      <w:r>
        <w:rPr>
          <w:rFonts w:hint="eastAsia" w:ascii="仿宋_GB2312" w:hAnsi="仿宋_GB2312" w:eastAsia="仿宋_GB2312" w:cs="仿宋_GB2312"/>
          <w:kern w:val="0"/>
          <w:sz w:val="32"/>
          <w:szCs w:val="32"/>
        </w:rPr>
        <w:t>室（若有调整，另行通知）。</w:t>
      </w:r>
    </w:p>
    <w:p>
      <w:pPr>
        <w:spacing w:line="60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五、开标</w:t>
      </w:r>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时间：2024年11月</w:t>
      </w:r>
      <w:r>
        <w:rPr>
          <w:rFonts w:ascii="仿宋_GB2312" w:hAnsi="仿宋_GB2312" w:eastAsia="仿宋_GB2312" w:cs="仿宋_GB2312"/>
          <w:kern w:val="0"/>
          <w:sz w:val="32"/>
          <w:szCs w:val="32"/>
        </w:rPr>
        <w:t>11</w:t>
      </w:r>
      <w:r>
        <w:rPr>
          <w:rFonts w:hint="eastAsia" w:ascii="仿宋_GB2312" w:hAnsi="仿宋_GB2312" w:eastAsia="仿宋_GB2312" w:cs="仿宋_GB2312"/>
          <w:kern w:val="0"/>
          <w:sz w:val="32"/>
          <w:szCs w:val="32"/>
        </w:rPr>
        <w:t>日1</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时00分（北京时间）</w:t>
      </w:r>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地点：南通市崇川区崇川路58号1幢402室（若有调整，另行通知）。</w:t>
      </w:r>
    </w:p>
    <w:p>
      <w:pPr>
        <w:spacing w:line="60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六、其他</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不收取磋商保证金、履约保证金。</w:t>
      </w:r>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本公告解释权在南通市科技信息研究所。</w:t>
      </w:r>
    </w:p>
    <w:p>
      <w:pPr>
        <w:spacing w:line="60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七、对本次采购提出询问，请按以下方式联系</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采购人信息</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名称：南通市科技信息研究所</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地址：南通市崇川路5</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号1号楼</w:t>
      </w:r>
      <w:r>
        <w:rPr>
          <w:rFonts w:ascii="仿宋_GB2312" w:hAnsi="仿宋_GB2312" w:eastAsia="仿宋_GB2312" w:cs="仿宋_GB2312"/>
          <w:kern w:val="0"/>
          <w:sz w:val="32"/>
          <w:szCs w:val="32"/>
        </w:rPr>
        <w:t xml:space="preserve"> </w:t>
      </w:r>
    </w:p>
    <w:p>
      <w:pPr>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联系方式：陈先生，0</w:t>
      </w:r>
      <w:r>
        <w:rPr>
          <w:rFonts w:ascii="仿宋_GB2312" w:hAnsi="仿宋_GB2312" w:eastAsia="仿宋_GB2312" w:cs="仿宋_GB2312"/>
          <w:kern w:val="0"/>
          <w:sz w:val="32"/>
          <w:szCs w:val="32"/>
        </w:rPr>
        <w:t>513-</w:t>
      </w:r>
      <w:r>
        <w:rPr>
          <w:rFonts w:hint="eastAsia" w:ascii="仿宋_GB2312" w:hAnsi="仿宋_GB2312" w:eastAsia="仿宋_GB2312" w:cs="仿宋_GB2312"/>
          <w:kern w:val="0"/>
          <w:sz w:val="32"/>
          <w:szCs w:val="32"/>
        </w:rPr>
        <w:t>55018</w:t>
      </w:r>
      <w:r>
        <w:rPr>
          <w:rFonts w:ascii="仿宋_GB2312" w:hAnsi="仿宋_GB2312" w:eastAsia="仿宋_GB2312" w:cs="仿宋_GB2312"/>
          <w:kern w:val="0"/>
          <w:sz w:val="32"/>
          <w:szCs w:val="32"/>
        </w:rPr>
        <w:t>895</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15195906665</w:t>
      </w:r>
    </w:p>
    <w:p>
      <w:pPr>
        <w:spacing w:line="540" w:lineRule="exact"/>
        <w:ind w:firstLine="640" w:firstLineChars="200"/>
        <w:jc w:val="left"/>
        <w:rPr>
          <w:rFonts w:ascii="仿宋_GB2312" w:hAnsi="仿宋_GB2312" w:eastAsia="仿宋_GB2312" w:cs="仿宋_GB2312"/>
          <w:kern w:val="0"/>
          <w:sz w:val="32"/>
          <w:szCs w:val="32"/>
        </w:rPr>
      </w:pPr>
    </w:p>
    <w:p>
      <w:pPr>
        <w:spacing w:line="540" w:lineRule="exact"/>
        <w:jc w:val="right"/>
        <w:rPr>
          <w:rFonts w:ascii="仿宋_GB2312" w:hAnsi="仿宋_GB2312" w:eastAsia="仿宋_GB2312" w:cs="仿宋_GB2312"/>
          <w:kern w:val="0"/>
          <w:sz w:val="32"/>
          <w:szCs w:val="32"/>
        </w:rPr>
      </w:pPr>
    </w:p>
    <w:p>
      <w:pPr>
        <w:spacing w:line="540" w:lineRule="exact"/>
        <w:jc w:val="right"/>
        <w:rPr>
          <w:rFonts w:ascii="仿宋_GB2312" w:hAnsi="仿宋_GB2312" w:eastAsia="仿宋_GB2312" w:cs="仿宋_GB2312"/>
          <w:kern w:val="0"/>
          <w:sz w:val="32"/>
          <w:szCs w:val="32"/>
        </w:rPr>
      </w:pPr>
    </w:p>
    <w:p>
      <w:pPr>
        <w:spacing w:line="540" w:lineRule="exact"/>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南通市科技信息研究所</w:t>
      </w:r>
    </w:p>
    <w:p>
      <w:pPr>
        <w:spacing w:line="540" w:lineRule="exact"/>
        <w:ind w:right="32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ascii="仿宋_GB2312" w:hAnsi="仿宋_GB2312" w:eastAsia="仿宋_GB2312" w:cs="仿宋_GB2312"/>
          <w:kern w:val="0"/>
          <w:sz w:val="32"/>
          <w:szCs w:val="32"/>
        </w:rPr>
        <w:t>24</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23</w:t>
      </w:r>
      <w:r>
        <w:rPr>
          <w:rFonts w:hint="eastAsia" w:ascii="仿宋_GB2312" w:hAnsi="仿宋_GB2312" w:eastAsia="仿宋_GB2312" w:cs="仿宋_GB2312"/>
          <w:kern w:val="0"/>
          <w:sz w:val="32"/>
          <w:szCs w:val="32"/>
        </w:rPr>
        <w:t>日</w:t>
      </w:r>
    </w:p>
    <w:p>
      <w:pPr>
        <w:spacing w:line="540" w:lineRule="exact"/>
        <w:ind w:right="320"/>
        <w:jc w:val="right"/>
        <w:rPr>
          <w:rFonts w:ascii="仿宋_GB2312" w:hAnsi="仿宋_GB2312" w:eastAsia="仿宋_GB2312" w:cs="仿宋_GB2312"/>
          <w:kern w:val="0"/>
          <w:sz w:val="32"/>
          <w:szCs w:val="32"/>
        </w:rPr>
      </w:pPr>
    </w:p>
    <w:p>
      <w:pPr>
        <w:spacing w:line="540" w:lineRule="exact"/>
        <w:ind w:right="320"/>
        <w:jc w:val="right"/>
        <w:rPr>
          <w:rFonts w:ascii="仿宋_GB2312" w:hAnsi="仿宋_GB2312" w:eastAsia="仿宋_GB2312" w:cs="仿宋_GB2312"/>
          <w:kern w:val="0"/>
          <w:sz w:val="32"/>
          <w:szCs w:val="32"/>
        </w:rPr>
      </w:pPr>
    </w:p>
    <w:p>
      <w:pPr>
        <w:widowControl/>
        <w:shd w:val="clear" w:color="auto" w:fill="FFFFFF"/>
        <w:spacing w:line="360" w:lineRule="auto"/>
        <w:jc w:val="left"/>
        <w:rPr>
          <w:rFonts w:hint="eastAsia" w:ascii="方正大标宋简体" w:hAnsi="方正黑体_GBK" w:eastAsia="方正大标宋简体" w:cs="方正黑体_GBK"/>
          <w:sz w:val="32"/>
          <w:szCs w:val="32"/>
        </w:rPr>
      </w:pPr>
    </w:p>
    <w:p>
      <w:pPr>
        <w:widowControl/>
        <w:shd w:val="clear" w:color="auto" w:fill="FFFFFF"/>
        <w:spacing w:line="360" w:lineRule="auto"/>
        <w:jc w:val="left"/>
        <w:rPr>
          <w:rFonts w:ascii="方正大标宋简体" w:hAnsi="方正黑体_GBK" w:eastAsia="方正大标宋简体" w:cs="方正黑体_GBK"/>
          <w:sz w:val="32"/>
          <w:szCs w:val="32"/>
        </w:rPr>
      </w:pPr>
      <w:bookmarkStart w:id="7" w:name="_GoBack"/>
      <w:bookmarkEnd w:id="7"/>
      <w:r>
        <w:rPr>
          <w:rFonts w:hint="eastAsia" w:ascii="方正大标宋简体" w:hAnsi="方正黑体_GBK" w:eastAsia="方正大标宋简体" w:cs="方正黑体_GBK"/>
          <w:sz w:val="32"/>
          <w:szCs w:val="32"/>
        </w:rPr>
        <w:t>附件1：</w:t>
      </w:r>
    </w:p>
    <w:p>
      <w:pPr>
        <w:pStyle w:val="2"/>
        <w:spacing w:before="156" w:beforeLines="50" w:after="156" w:afterLines="50" w:line="360" w:lineRule="auto"/>
        <w:jc w:val="center"/>
        <w:rPr>
          <w:rFonts w:ascii="方正大标宋简体" w:hAnsi="仿宋" w:eastAsia="方正大标宋简体"/>
          <w:b w:val="0"/>
          <w:bCs w:val="0"/>
          <w:sz w:val="40"/>
          <w:szCs w:val="40"/>
        </w:rPr>
      </w:pPr>
      <w:r>
        <w:rPr>
          <w:rFonts w:hint="eastAsia" w:ascii="方正大标宋简体" w:hAnsi="仿宋" w:eastAsia="方正大标宋简体"/>
          <w:b w:val="0"/>
          <w:bCs w:val="0"/>
          <w:sz w:val="40"/>
          <w:szCs w:val="40"/>
        </w:rPr>
        <w:t>投标意向报名表</w:t>
      </w:r>
    </w:p>
    <w:p>
      <w:pPr>
        <w:widowControl/>
        <w:jc w:val="righ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填表日期：   年  月  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vAlign w:val="center"/>
          </w:tcPr>
          <w:p>
            <w:pPr>
              <w:widowControl/>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项目名称</w:t>
            </w:r>
          </w:p>
        </w:tc>
        <w:tc>
          <w:tcPr>
            <w:tcW w:w="6978" w:type="dxa"/>
            <w:vAlign w:val="center"/>
          </w:tcPr>
          <w:p>
            <w:pPr>
              <w:widowControl/>
              <w:jc w:val="center"/>
              <w:rPr>
                <w:rFonts w:ascii="仿宋_GB2312" w:hAnsi="方正仿宋_GBK" w:eastAsia="仿宋_GB2312" w:cs="方正仿宋_GBK"/>
                <w:sz w:val="28"/>
                <w:szCs w:val="28"/>
              </w:rPr>
            </w:pPr>
            <w:r>
              <w:rPr>
                <w:rFonts w:hint="eastAsia" w:ascii="仿宋_GB2312" w:hAnsi="仿宋" w:eastAsia="仿宋_GB2312"/>
                <w:sz w:val="28"/>
                <w:szCs w:val="28"/>
              </w:rPr>
              <w:t>南通市生物医药专业数据库服务项目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vAlign w:val="center"/>
          </w:tcPr>
          <w:p>
            <w:pPr>
              <w:widowControl/>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供应商名称（盖章）</w:t>
            </w:r>
          </w:p>
        </w:tc>
        <w:tc>
          <w:tcPr>
            <w:tcW w:w="6978" w:type="dxa"/>
            <w:vAlign w:val="center"/>
          </w:tcPr>
          <w:p>
            <w:pPr>
              <w:widowControl/>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082" w:type="dxa"/>
            <w:vAlign w:val="center"/>
          </w:tcPr>
          <w:p>
            <w:pPr>
              <w:widowControl/>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供应商地址</w:t>
            </w:r>
          </w:p>
        </w:tc>
        <w:tc>
          <w:tcPr>
            <w:tcW w:w="6978" w:type="dxa"/>
            <w:vAlign w:val="center"/>
          </w:tcPr>
          <w:p>
            <w:pPr>
              <w:widowControl/>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082" w:type="dxa"/>
            <w:vAlign w:val="center"/>
          </w:tcPr>
          <w:p>
            <w:pPr>
              <w:widowControl/>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联系人</w:t>
            </w:r>
          </w:p>
        </w:tc>
        <w:tc>
          <w:tcPr>
            <w:tcW w:w="6978" w:type="dxa"/>
            <w:vAlign w:val="center"/>
          </w:tcPr>
          <w:p>
            <w:pPr>
              <w:widowControl/>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082" w:type="dxa"/>
            <w:vAlign w:val="center"/>
          </w:tcPr>
          <w:p>
            <w:pPr>
              <w:widowControl/>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联系电话</w:t>
            </w:r>
          </w:p>
        </w:tc>
        <w:tc>
          <w:tcPr>
            <w:tcW w:w="6978" w:type="dxa"/>
            <w:vAlign w:val="center"/>
          </w:tcPr>
          <w:p>
            <w:pPr>
              <w:widowControl/>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082" w:type="dxa"/>
            <w:vAlign w:val="center"/>
          </w:tcPr>
          <w:p>
            <w:pPr>
              <w:widowControl/>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电子邮箱</w:t>
            </w:r>
          </w:p>
        </w:tc>
        <w:tc>
          <w:tcPr>
            <w:tcW w:w="6978" w:type="dxa"/>
            <w:vAlign w:val="center"/>
          </w:tcPr>
          <w:p>
            <w:pPr>
              <w:widowControl/>
              <w:jc w:val="center"/>
              <w:rPr>
                <w:rFonts w:ascii="仿宋_GB2312" w:hAnsi="方正仿宋_GBK" w:eastAsia="仿宋_GB2312" w:cs="方正仿宋_GBK"/>
                <w:sz w:val="28"/>
                <w:szCs w:val="28"/>
              </w:rPr>
            </w:pPr>
          </w:p>
        </w:tc>
      </w:tr>
    </w:tbl>
    <w:p>
      <w:pPr>
        <w:widowControl/>
        <w:shd w:val="clear" w:color="auto" w:fill="FFFFFF"/>
        <w:spacing w:line="360" w:lineRule="auto"/>
        <w:jc w:val="center"/>
        <w:rPr>
          <w:rFonts w:ascii="仿宋_GB2312" w:hAnsi="方正仿宋_GBK" w:eastAsia="仿宋_GB2312" w:cs="方正仿宋_GBK"/>
          <w:sz w:val="28"/>
          <w:szCs w:val="28"/>
        </w:rPr>
      </w:pPr>
    </w:p>
    <w:p>
      <w:pPr>
        <w:widowControl/>
        <w:shd w:val="clear" w:color="auto" w:fill="FFFFFF"/>
        <w:spacing w:line="360" w:lineRule="auto"/>
        <w:jc w:val="center"/>
        <w:rPr>
          <w:rFonts w:ascii="仿宋_GB2312" w:hAnsi="方正仿宋_GBK" w:eastAsia="仿宋_GB2312" w:cs="方正仿宋_GBK"/>
          <w:sz w:val="28"/>
          <w:szCs w:val="28"/>
        </w:rPr>
      </w:pPr>
    </w:p>
    <w:p>
      <w:pPr>
        <w:widowControl/>
        <w:shd w:val="clear" w:color="auto" w:fill="FFFFFF"/>
        <w:spacing w:line="360" w:lineRule="auto"/>
        <w:jc w:val="center"/>
        <w:rPr>
          <w:rFonts w:ascii="仿宋_GB2312" w:hAnsi="方正仿宋_GBK" w:eastAsia="仿宋_GB2312" w:cs="方正仿宋_GBK"/>
          <w:sz w:val="28"/>
          <w:szCs w:val="28"/>
        </w:rPr>
      </w:pPr>
    </w:p>
    <w:p>
      <w:pPr>
        <w:widowControl/>
        <w:shd w:val="clear" w:color="auto" w:fill="FFFFFF"/>
        <w:spacing w:line="360" w:lineRule="auto"/>
        <w:jc w:val="center"/>
        <w:rPr>
          <w:rFonts w:ascii="仿宋_GB2312" w:hAnsi="方正仿宋_GBK" w:eastAsia="仿宋_GB2312" w:cs="方正仿宋_GBK"/>
          <w:sz w:val="28"/>
          <w:szCs w:val="28"/>
        </w:rPr>
      </w:pPr>
    </w:p>
    <w:p>
      <w:pPr>
        <w:widowControl/>
        <w:shd w:val="clear" w:color="auto" w:fill="FFFFFF"/>
        <w:spacing w:line="360" w:lineRule="auto"/>
        <w:jc w:val="center"/>
        <w:rPr>
          <w:rFonts w:ascii="仿宋_GB2312" w:hAnsi="方正仿宋_GBK" w:eastAsia="仿宋_GB2312" w:cs="方正仿宋_GBK"/>
          <w:sz w:val="28"/>
          <w:szCs w:val="28"/>
        </w:rPr>
      </w:pPr>
    </w:p>
    <w:p>
      <w:pPr>
        <w:widowControl/>
        <w:shd w:val="clear" w:color="auto" w:fill="FFFFFF"/>
        <w:spacing w:line="360" w:lineRule="auto"/>
        <w:jc w:val="center"/>
        <w:rPr>
          <w:rFonts w:ascii="仿宋_GB2312" w:hAnsi="方正仿宋_GBK" w:eastAsia="仿宋_GB2312" w:cs="方正仿宋_GBK"/>
          <w:sz w:val="28"/>
          <w:szCs w:val="28"/>
        </w:rPr>
      </w:pPr>
    </w:p>
    <w:p>
      <w:pPr>
        <w:widowControl/>
        <w:shd w:val="clear" w:color="auto" w:fill="FFFFFF"/>
        <w:spacing w:line="360" w:lineRule="auto"/>
        <w:jc w:val="center"/>
        <w:rPr>
          <w:rFonts w:ascii="仿宋_GB2312" w:hAnsi="方正仿宋_GBK" w:eastAsia="仿宋_GB2312" w:cs="方正仿宋_GBK"/>
          <w:sz w:val="28"/>
          <w:szCs w:val="28"/>
        </w:rPr>
      </w:pPr>
    </w:p>
    <w:p>
      <w:pPr>
        <w:widowControl/>
        <w:shd w:val="clear" w:color="auto" w:fill="FFFFFF"/>
        <w:spacing w:line="360" w:lineRule="auto"/>
        <w:jc w:val="left"/>
        <w:rPr>
          <w:rFonts w:ascii="方正大标宋简体" w:hAnsi="方正黑体_GBK" w:eastAsia="方正大标宋简体" w:cs="方正黑体_GBK"/>
          <w:sz w:val="32"/>
          <w:szCs w:val="32"/>
        </w:rPr>
      </w:pPr>
      <w:r>
        <w:rPr>
          <w:rFonts w:hint="eastAsia" w:ascii="方正大标宋简体" w:hAnsi="方正黑体_GBK" w:eastAsia="方正大标宋简体" w:cs="方正黑体_GBK"/>
          <w:sz w:val="32"/>
          <w:szCs w:val="32"/>
        </w:rPr>
        <w:t>附件2：</w:t>
      </w:r>
    </w:p>
    <w:p>
      <w:pPr>
        <w:spacing w:line="540" w:lineRule="exact"/>
        <w:ind w:right="320"/>
        <w:jc w:val="left"/>
        <w:rPr>
          <w:rFonts w:ascii="仿宋_GB2312" w:hAnsi="仿宋_GB2312" w:eastAsia="仿宋_GB2312" w:cs="仿宋_GB2312"/>
          <w:kern w:val="0"/>
          <w:sz w:val="32"/>
          <w:szCs w:val="32"/>
        </w:rPr>
      </w:pPr>
    </w:p>
    <w:p>
      <w:pPr>
        <w:pStyle w:val="2"/>
        <w:spacing w:before="156" w:beforeLines="50" w:after="156" w:afterLines="50" w:line="360" w:lineRule="auto"/>
        <w:jc w:val="center"/>
        <w:rPr>
          <w:rFonts w:ascii="方正大标宋简体" w:hAnsi="仿宋" w:eastAsia="方正大标宋简体"/>
          <w:b w:val="0"/>
          <w:bCs w:val="0"/>
          <w:sz w:val="40"/>
          <w:szCs w:val="40"/>
        </w:rPr>
      </w:pPr>
      <w:r>
        <w:rPr>
          <w:rFonts w:hint="eastAsia" w:ascii="方正大标宋简体" w:hAnsi="仿宋" w:eastAsia="方正大标宋简体"/>
          <w:b w:val="0"/>
          <w:bCs w:val="0"/>
          <w:sz w:val="40"/>
          <w:szCs w:val="40"/>
        </w:rPr>
        <w:t>第一部分 磋商须知</w:t>
      </w:r>
    </w:p>
    <w:p>
      <w:pPr>
        <w:widowControl/>
        <w:shd w:val="clear" w:color="auto" w:fill="FFFFFF"/>
        <w:spacing w:line="600" w:lineRule="exact"/>
        <w:ind w:firstLine="560" w:firstLineChars="200"/>
        <w:jc w:val="left"/>
        <w:rPr>
          <w:rFonts w:ascii="黑体" w:hAnsi="黑体" w:eastAsia="黑体" w:cs="仿宋"/>
          <w:bCs/>
          <w:sz w:val="28"/>
          <w:szCs w:val="28"/>
        </w:rPr>
      </w:pPr>
      <w:r>
        <w:rPr>
          <w:rFonts w:hint="eastAsia" w:ascii="黑体" w:hAnsi="黑体" w:eastAsia="黑体" w:cs="仿宋"/>
          <w:bCs/>
          <w:sz w:val="28"/>
          <w:szCs w:val="28"/>
        </w:rPr>
        <w:t>一、本磋商文件由采购人解释</w:t>
      </w:r>
    </w:p>
    <w:p>
      <w:pPr>
        <w:widowControl/>
        <w:shd w:val="clear" w:color="auto" w:fill="FFFFFF"/>
        <w:spacing w:line="600" w:lineRule="exact"/>
        <w:ind w:firstLine="560" w:firstLineChars="200"/>
        <w:jc w:val="left"/>
        <w:rPr>
          <w:rFonts w:ascii="仿宋_GB2312" w:hAnsi="仿宋" w:eastAsia="仿宋_GB2312" w:cs="仿宋"/>
          <w:b/>
          <w:sz w:val="28"/>
          <w:szCs w:val="28"/>
        </w:rPr>
      </w:pPr>
      <w:r>
        <w:rPr>
          <w:rFonts w:hint="eastAsia" w:ascii="仿宋_GB2312" w:hAnsi="仿宋" w:eastAsia="仿宋_GB2312" w:cs="仿宋"/>
          <w:sz w:val="28"/>
          <w:szCs w:val="28"/>
        </w:rPr>
        <w:t>1</w:t>
      </w:r>
      <w:r>
        <w:rPr>
          <w:rFonts w:hint="eastAsia" w:ascii="仿宋_GB2312" w:hAnsi="仿宋" w:eastAsia="仿宋_GB2312" w:cs="Times New Roman"/>
          <w:sz w:val="28"/>
          <w:szCs w:val="28"/>
          <w:lang w:val="zh-CN"/>
        </w:rPr>
        <w:t>.</w:t>
      </w:r>
      <w:r>
        <w:rPr>
          <w:rFonts w:hint="eastAsia" w:ascii="仿宋_GB2312" w:hAnsi="仿宋" w:eastAsia="仿宋_GB2312" w:cs="仿宋"/>
          <w:sz w:val="28"/>
          <w:szCs w:val="28"/>
        </w:rPr>
        <w:t>供应商在获取磋商文件后，应仔细检查磋商文件的所有内容，如对政府采购活动事项有疑问的，应向采购人以书面形式提出，否则视同供应商理解并接受本磋商文件所有内容，并由此引起的损失自负。供应商不得在磋商结束后针对磋商文件所有内容提出质疑事项。</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w:t>
      </w:r>
      <w:r>
        <w:rPr>
          <w:rFonts w:hint="eastAsia" w:ascii="仿宋_GB2312" w:hAnsi="仿宋" w:eastAsia="仿宋_GB2312" w:cs="Times New Roman"/>
          <w:sz w:val="28"/>
          <w:szCs w:val="28"/>
          <w:lang w:val="zh-CN"/>
        </w:rPr>
        <w:t>.</w:t>
      </w:r>
      <w:r>
        <w:rPr>
          <w:rFonts w:hint="eastAsia" w:ascii="仿宋_GB2312" w:hAnsi="仿宋" w:eastAsia="仿宋_GB2312" w:cs="仿宋"/>
          <w:sz w:val="28"/>
          <w:szCs w:val="28"/>
        </w:rPr>
        <w:t>供应商应认真审阅磋商文件中所有的事项、格式、条款和规范要求等，如果供应商没有按照磋商文件要求提交响应文件，或者响应文件没有对磋商文件做出实质性响应，将被拒绝参与磋商。</w:t>
      </w:r>
    </w:p>
    <w:p>
      <w:pPr>
        <w:widowControl/>
        <w:shd w:val="clear" w:color="auto" w:fill="FFFFFF"/>
        <w:spacing w:line="600" w:lineRule="exact"/>
        <w:ind w:firstLine="560" w:firstLineChars="200"/>
        <w:jc w:val="left"/>
        <w:rPr>
          <w:rFonts w:ascii="黑体" w:hAnsi="黑体" w:eastAsia="黑体" w:cs="仿宋"/>
          <w:bCs/>
          <w:sz w:val="28"/>
          <w:szCs w:val="28"/>
        </w:rPr>
      </w:pPr>
      <w:r>
        <w:rPr>
          <w:rFonts w:hint="eastAsia" w:ascii="黑体" w:hAnsi="黑体" w:eastAsia="黑体" w:cs="仿宋"/>
          <w:bCs/>
          <w:sz w:val="28"/>
          <w:szCs w:val="28"/>
        </w:rPr>
        <w:t>二、磋商文件的澄清、修改、答疑</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采购人可以对已发出的磋商文件进行必要的澄清或者修改，澄清或者修改的内容作为磋商文件的组成部分。澄清或者修改的内容可能影响响应文件编制的，采购人将在提交首次响应文件截止之日5日前，以公告书面形式（包括电子邮件发送盖章扫描件）通知所有接收磋商文件的供应商，不足5日的，应当顺延提交首次响应文件截止之日。</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供应商由于对磋商文件的任何推论和误解以及采购人对有关问题的口头解释所造成的后果，均由供应商自负。</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采购人可视情组织答疑会。</w:t>
      </w:r>
    </w:p>
    <w:p>
      <w:pPr>
        <w:widowControl/>
        <w:shd w:val="clear" w:color="auto" w:fill="FFFFFF"/>
        <w:spacing w:line="600" w:lineRule="exact"/>
        <w:ind w:firstLine="560" w:firstLineChars="200"/>
        <w:jc w:val="left"/>
        <w:rPr>
          <w:rFonts w:ascii="黑体" w:hAnsi="黑体" w:eastAsia="黑体" w:cs="仿宋"/>
          <w:bCs/>
          <w:sz w:val="28"/>
          <w:szCs w:val="28"/>
        </w:rPr>
      </w:pPr>
      <w:r>
        <w:rPr>
          <w:rFonts w:hint="eastAsia" w:ascii="黑体" w:hAnsi="黑体" w:eastAsia="黑体" w:cs="仿宋"/>
          <w:bCs/>
          <w:sz w:val="28"/>
          <w:szCs w:val="28"/>
        </w:rPr>
        <w:t>三、响应文件的编写、份数和签署</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 w:hAnsi="仿宋" w:eastAsia="仿宋" w:cs="仿宋"/>
          <w:sz w:val="28"/>
          <w:szCs w:val="28"/>
          <w:lang w:val="zh-CN"/>
        </w:rPr>
        <w:t>1</w:t>
      </w:r>
      <w:r>
        <w:rPr>
          <w:rFonts w:hint="eastAsia" w:ascii="仿宋_GB2312" w:hAnsi="仿宋" w:eastAsia="仿宋_GB2312" w:cs="仿宋"/>
          <w:sz w:val="28"/>
          <w:szCs w:val="28"/>
        </w:rPr>
        <w:t>.供应商按要求编写响应文件，自编目录并连续标注页码，不得将内容拆开，并牢固装订成册。响应文件均需采用A4纸（图纸等除外），不允许使用活页夹、拉杆夹、文件夹、塑料方便式书脊（插入式或穿孔式）装订。响应文件不得行间插字、涂改、增删，如修补错漏处，须经响应文件签署人签字并加盖公章。</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2.响应文件正本须打印并由法定代表人或授权人签字并加盖单位印章。副本可复印，但须加盖单位印章。</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3.采购人将拒绝接收未按照磋商文件要求的响应文件。</w:t>
      </w:r>
    </w:p>
    <w:p>
      <w:pPr>
        <w:widowControl/>
        <w:shd w:val="clear" w:color="auto" w:fill="FFFFFF"/>
        <w:spacing w:line="600" w:lineRule="exact"/>
        <w:ind w:firstLine="560" w:firstLineChars="200"/>
        <w:jc w:val="left"/>
        <w:rPr>
          <w:rFonts w:ascii="黑体" w:hAnsi="黑体" w:eastAsia="黑体" w:cs="仿宋"/>
          <w:bCs/>
          <w:sz w:val="28"/>
          <w:szCs w:val="28"/>
        </w:rPr>
      </w:pPr>
      <w:r>
        <w:rPr>
          <w:rFonts w:hint="eastAsia" w:ascii="黑体" w:hAnsi="黑体" w:eastAsia="黑体" w:cs="仿宋"/>
          <w:bCs/>
          <w:sz w:val="28"/>
          <w:szCs w:val="28"/>
        </w:rPr>
        <w:t>四、响应文件的密封及标记</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1.商务技术文件应将正本、副本及图纸类等（如需提供图纸等其它资料的话）合并密封，统一装在一个密封袋或密封箱内（如有A3大小的图纸类，可单独密封）。</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2.响应报价表须单独密封，不得出现于其他响应文件中。</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3.密封后应标明响应文件项目名称、边缝处加盖单位骑缝章或骑缝签字，并注明于磋商前不得启封。</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4.采购人将拒绝接收未按照磋商文件要求密封的响应文件。</w:t>
      </w:r>
    </w:p>
    <w:p>
      <w:pPr>
        <w:widowControl/>
        <w:shd w:val="clear" w:color="auto" w:fill="FFFFFF"/>
        <w:spacing w:line="600" w:lineRule="exact"/>
        <w:ind w:firstLine="560" w:firstLineChars="200"/>
        <w:jc w:val="left"/>
        <w:rPr>
          <w:rFonts w:ascii="黑体" w:hAnsi="黑体" w:eastAsia="黑体" w:cs="仿宋"/>
          <w:bCs/>
          <w:sz w:val="28"/>
          <w:szCs w:val="28"/>
        </w:rPr>
      </w:pPr>
      <w:r>
        <w:rPr>
          <w:rFonts w:hint="eastAsia" w:ascii="黑体" w:hAnsi="黑体" w:eastAsia="黑体" w:cs="仿宋"/>
          <w:bCs/>
          <w:sz w:val="28"/>
          <w:szCs w:val="28"/>
        </w:rPr>
        <w:t>五、报价准备</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1.磋商结束后，供应商就所有内容进行最终报价，少报无效。</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2.最后报价应包括本项目的全部费用（含一切必须的辅助材料费用）及相关服务费等。</w:t>
      </w:r>
    </w:p>
    <w:p>
      <w:pPr>
        <w:widowControl/>
        <w:shd w:val="clear" w:color="auto" w:fill="FFFFFF"/>
        <w:spacing w:line="600" w:lineRule="exact"/>
        <w:ind w:firstLine="562" w:firstLineChars="200"/>
        <w:jc w:val="left"/>
        <w:rPr>
          <w:rFonts w:ascii="仿宋_GB2312" w:hAnsi="仿宋" w:eastAsia="仿宋_GB2312" w:cs="仿宋"/>
          <w:b/>
          <w:sz w:val="28"/>
          <w:szCs w:val="28"/>
          <w:lang w:val="zh-CN"/>
        </w:rPr>
      </w:pPr>
      <w:r>
        <w:rPr>
          <w:rFonts w:hint="eastAsia" w:ascii="仿宋_GB2312" w:hAnsi="仿宋" w:eastAsia="仿宋_GB2312" w:cs="仿宋"/>
          <w:b/>
          <w:sz w:val="28"/>
          <w:szCs w:val="28"/>
          <w:lang w:val="zh-CN"/>
        </w:rPr>
        <w:t>3.最终报价不得超过预算，不得超过首次报价。（最终报价超过预算或首次报价的，价格标无效，价格分为零分。）</w:t>
      </w:r>
    </w:p>
    <w:p>
      <w:pPr>
        <w:widowControl/>
        <w:shd w:val="clear" w:color="auto" w:fill="FFFFFF"/>
        <w:spacing w:line="600" w:lineRule="exact"/>
        <w:ind w:firstLine="560" w:firstLineChars="200"/>
        <w:jc w:val="left"/>
        <w:rPr>
          <w:rFonts w:ascii="仿宋_GB2312" w:hAnsi="仿宋" w:eastAsia="仿宋_GB2312" w:cs="仿宋"/>
          <w:sz w:val="28"/>
          <w:szCs w:val="28"/>
          <w:lang w:val="zh-CN"/>
        </w:rPr>
      </w:pPr>
      <w:r>
        <w:rPr>
          <w:rFonts w:hint="eastAsia" w:ascii="仿宋_GB2312" w:hAnsi="仿宋" w:eastAsia="仿宋_GB2312" w:cs="仿宋"/>
          <w:sz w:val="28"/>
          <w:szCs w:val="28"/>
          <w:lang w:val="zh-CN"/>
        </w:rPr>
        <w:t>4</w:t>
      </w:r>
      <w:r>
        <w:rPr>
          <w:rFonts w:hint="eastAsia" w:ascii="仿宋_GB2312" w:hAnsi="仿宋" w:eastAsia="仿宋_GB2312" w:cs="Times New Roman"/>
          <w:sz w:val="28"/>
          <w:szCs w:val="28"/>
          <w:lang w:val="zh-CN"/>
        </w:rPr>
        <w:t>.</w:t>
      </w:r>
      <w:r>
        <w:rPr>
          <w:rFonts w:hint="eastAsia" w:ascii="仿宋_GB2312" w:hAnsi="仿宋" w:eastAsia="仿宋_GB2312" w:cs="仿宋"/>
          <w:sz w:val="28"/>
          <w:szCs w:val="28"/>
          <w:lang w:val="zh-CN"/>
        </w:rPr>
        <w:t>最后报价将作为磋商小组评定成交供应商的组成依据。</w:t>
      </w:r>
    </w:p>
    <w:p>
      <w:pPr>
        <w:widowControl/>
        <w:shd w:val="clear" w:color="auto" w:fill="FFFFFF"/>
        <w:spacing w:line="600" w:lineRule="exact"/>
        <w:ind w:firstLine="562" w:firstLineChars="200"/>
        <w:jc w:val="left"/>
        <w:rPr>
          <w:rFonts w:ascii="仿宋_GB2312" w:hAnsi="仿宋" w:eastAsia="仿宋_GB2312" w:cs="仿宋"/>
          <w:b/>
          <w:sz w:val="28"/>
          <w:szCs w:val="28"/>
          <w:lang w:val="zh-CN"/>
        </w:rPr>
      </w:pPr>
      <w:r>
        <w:rPr>
          <w:rFonts w:hint="eastAsia" w:ascii="仿宋_GB2312" w:hAnsi="仿宋" w:eastAsia="仿宋_GB2312" w:cs="仿宋"/>
          <w:b/>
          <w:sz w:val="28"/>
          <w:szCs w:val="28"/>
          <w:lang w:val="zh-CN"/>
        </w:rPr>
        <w:t>5.供应商提交的最终报价明显低于其他通过符合性审查供应商的报价，有可能影响产品质量或者不能诚信履约的，应当在评标现场合理的时间内（一般为10分钟，特殊情况下可申请延长）提供书面说明，提交相关证明材料；供应商不能证明其报价合理性的，评标委员会应当将其作为无效投标处理。</w:t>
      </w:r>
    </w:p>
    <w:p>
      <w:pPr>
        <w:widowControl/>
        <w:shd w:val="clear" w:color="auto" w:fill="FFFFFF"/>
        <w:spacing w:line="600" w:lineRule="exact"/>
        <w:ind w:firstLine="560" w:firstLineChars="200"/>
        <w:jc w:val="left"/>
        <w:rPr>
          <w:rFonts w:ascii="黑体" w:hAnsi="黑体" w:eastAsia="黑体" w:cs="仿宋"/>
          <w:bCs/>
          <w:sz w:val="28"/>
          <w:szCs w:val="28"/>
        </w:rPr>
      </w:pPr>
      <w:r>
        <w:rPr>
          <w:rFonts w:hint="eastAsia" w:ascii="黑体" w:hAnsi="黑体" w:eastAsia="黑体" w:cs="仿宋"/>
          <w:bCs/>
          <w:sz w:val="28"/>
          <w:szCs w:val="28"/>
        </w:rPr>
        <w:t>六、响应文件的递交时间</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供应商必须在规定的响应文件接收截止时间前送达指定地点。采购人将拒绝接收在响应文件接收截止时间后递交的响应文件。</w:t>
      </w:r>
    </w:p>
    <w:p>
      <w:pPr>
        <w:widowControl/>
        <w:shd w:val="clear" w:color="auto" w:fill="FFFFFF"/>
        <w:spacing w:line="600" w:lineRule="exact"/>
        <w:ind w:firstLine="560" w:firstLineChars="200"/>
        <w:jc w:val="left"/>
        <w:rPr>
          <w:rFonts w:ascii="黑体" w:hAnsi="黑体" w:eastAsia="黑体" w:cs="仿宋"/>
          <w:bCs/>
          <w:sz w:val="28"/>
          <w:szCs w:val="28"/>
        </w:rPr>
      </w:pPr>
      <w:r>
        <w:rPr>
          <w:rFonts w:hint="eastAsia" w:ascii="黑体" w:hAnsi="黑体" w:eastAsia="黑体" w:cs="仿宋"/>
          <w:bCs/>
          <w:sz w:val="28"/>
          <w:szCs w:val="28"/>
        </w:rPr>
        <w:t>七、相关费用</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1.供应商承担参与磋商可能发生的全部费用，采购人在任何情况下均无义务和责任承担这些费用。</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2.采购人不收取任何费用。</w:t>
      </w:r>
    </w:p>
    <w:p>
      <w:pPr>
        <w:widowControl/>
        <w:shd w:val="clear" w:color="auto" w:fill="FFFFFF"/>
        <w:spacing w:line="600" w:lineRule="exact"/>
        <w:ind w:firstLine="560" w:firstLineChars="200"/>
        <w:jc w:val="left"/>
        <w:rPr>
          <w:rFonts w:ascii="黑体" w:hAnsi="黑体" w:eastAsia="黑体" w:cs="仿宋"/>
          <w:bCs/>
          <w:sz w:val="28"/>
          <w:szCs w:val="28"/>
        </w:rPr>
      </w:pPr>
      <w:r>
        <w:rPr>
          <w:rFonts w:hint="eastAsia" w:ascii="黑体" w:hAnsi="黑体" w:eastAsia="黑体" w:cs="仿宋"/>
          <w:bCs/>
          <w:sz w:val="28"/>
          <w:szCs w:val="28"/>
        </w:rPr>
        <w:t>八、供应商失信行为</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1.按照江苏省财政厅、江苏省社会信用体系建设领导小组办公室发布《江苏省政府采购信用管理暂行办法》（苏财规[2018]18号）第九条和第二十条相关规定，采购人记录和认定一般失信行为。</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已响应参加政府采购活动，故意迟到或无故不参加，影响正常开标等采购活动正常进行的情形，属于一般失信行为。本项目已响应的供应商因故不能参加开标活动的，须在响应文件提交截止时间前1个工作日向采购人提交书面原因并加盖公章。</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ascii="仿宋_GB2312" w:hAnsi="仿宋" w:eastAsia="仿宋_GB2312" w:cs="仿宋"/>
          <w:sz w:val="28"/>
          <w:szCs w:val="28"/>
        </w:rPr>
        <w:t>3</w:t>
      </w:r>
      <w:r>
        <w:rPr>
          <w:rFonts w:hint="eastAsia" w:ascii="仿宋_GB2312" w:hAnsi="仿宋" w:eastAsia="仿宋_GB2312" w:cs="仿宋"/>
          <w:sz w:val="28"/>
          <w:szCs w:val="28"/>
        </w:rPr>
        <w:t>.供应商存在严重失信行为的情形，采购人有权向项目所在地区县级以上财政部门报告，情节严重的，采购人有权拒绝其参加政府采购活动。</w:t>
      </w:r>
    </w:p>
    <w:p>
      <w:pPr>
        <w:widowControl/>
        <w:jc w:val="left"/>
        <w:rPr>
          <w:rFonts w:ascii="仿宋" w:hAnsi="仿宋" w:eastAsia="仿宋"/>
          <w:sz w:val="28"/>
          <w:szCs w:val="28"/>
        </w:rPr>
      </w:pPr>
      <w:r>
        <w:rPr>
          <w:rFonts w:ascii="仿宋" w:hAnsi="仿宋" w:eastAsia="仿宋"/>
          <w:sz w:val="28"/>
          <w:szCs w:val="28"/>
        </w:rPr>
        <w:br w:type="page"/>
      </w:r>
    </w:p>
    <w:p>
      <w:pPr>
        <w:pStyle w:val="2"/>
        <w:spacing w:before="0" w:after="0" w:line="600" w:lineRule="exact"/>
        <w:jc w:val="center"/>
        <w:rPr>
          <w:rFonts w:ascii="方正大标宋简体" w:hAnsi="仿宋" w:eastAsia="方正大标宋简体"/>
          <w:b w:val="0"/>
          <w:bCs w:val="0"/>
        </w:rPr>
      </w:pPr>
      <w:r>
        <w:rPr>
          <w:rFonts w:hint="eastAsia" w:ascii="方正大标宋简体" w:hAnsi="仿宋" w:eastAsia="方正大标宋简体"/>
          <w:b w:val="0"/>
          <w:bCs w:val="0"/>
        </w:rPr>
        <w:t>第二部分 项目需求</w:t>
      </w:r>
    </w:p>
    <w:p>
      <w:pPr>
        <w:spacing w:line="600" w:lineRule="exact"/>
        <w:ind w:firstLine="562" w:firstLineChars="200"/>
        <w:rPr>
          <w:rFonts w:ascii="仿宋_GB2312" w:hAnsi="仿宋" w:eastAsia="仿宋_GB2312" w:cs="仿宋"/>
          <w:sz w:val="28"/>
          <w:szCs w:val="28"/>
        </w:rPr>
      </w:pPr>
      <w:r>
        <w:rPr>
          <w:rFonts w:hint="eastAsia" w:ascii="仿宋_GB2312" w:hAnsi="仿宋" w:eastAsia="仿宋_GB2312" w:cs="仿宋"/>
          <w:b/>
          <w:sz w:val="28"/>
          <w:szCs w:val="28"/>
        </w:rPr>
        <w:t>请供应商在响应前和制作响应文件时仔细研究项目需求说明。</w:t>
      </w:r>
      <w:r>
        <w:rPr>
          <w:rFonts w:hint="eastAsia" w:ascii="仿宋_GB2312" w:hAnsi="仿宋" w:eastAsia="仿宋_GB2312" w:cs="仿宋"/>
          <w:sz w:val="28"/>
          <w:szCs w:val="28"/>
        </w:rPr>
        <w:t>供</w:t>
      </w:r>
      <w:r>
        <w:rPr>
          <w:rFonts w:hint="eastAsia" w:ascii="仿宋_GB2312" w:hAnsi="仿宋" w:eastAsia="仿宋_GB2312" w:cs="宋体"/>
          <w:color w:val="000000"/>
          <w:sz w:val="28"/>
          <w:szCs w:val="28"/>
        </w:rPr>
        <w:t>应商不能简单照搬照抄采购人项目需求说明中的技术、商务要求，必须作实事求是的响应。如照搬照抄项目需求说明中的技术、商务要求的，成交后供应商在同采购人签订合同和履约环节中不得提出异议，一切后果和损失由成交供应商承担。如供应商提供的货物和服务同采购人提出的项目需求说明中的技术、商务要求不同的，必须在《商务部分正负偏离表》和《技术部分正负偏离表》上明示，如不明示的视同完全响应。</w:t>
      </w:r>
    </w:p>
    <w:p>
      <w:pPr>
        <w:spacing w:line="600" w:lineRule="exact"/>
        <w:ind w:firstLine="560" w:firstLineChars="200"/>
        <w:rPr>
          <w:rFonts w:ascii="黑体" w:hAnsi="黑体" w:eastAsia="黑体" w:cs="仿宋"/>
          <w:bCs/>
          <w:sz w:val="28"/>
          <w:szCs w:val="28"/>
        </w:rPr>
      </w:pPr>
      <w:r>
        <w:rPr>
          <w:rFonts w:hint="eastAsia" w:ascii="黑体" w:hAnsi="黑体" w:eastAsia="黑体" w:cs="仿宋"/>
          <w:bCs/>
          <w:sz w:val="28"/>
          <w:szCs w:val="28"/>
        </w:rPr>
        <w:t>一、有关要求说明</w:t>
      </w:r>
    </w:p>
    <w:p>
      <w:pPr>
        <w:spacing w:line="600" w:lineRule="exact"/>
        <w:ind w:firstLine="560" w:firstLineChars="200"/>
        <w:rPr>
          <w:rFonts w:ascii="仿宋_GB2312" w:hAnsi="仿宋" w:eastAsia="仿宋_GB2312" w:cs="宋体"/>
          <w:color w:val="000000"/>
          <w:sz w:val="28"/>
          <w:szCs w:val="28"/>
        </w:rPr>
      </w:pPr>
      <w:r>
        <w:rPr>
          <w:rFonts w:hint="eastAsia" w:ascii="仿宋_GB2312" w:hAnsi="仿宋" w:eastAsia="仿宋_GB2312" w:cs="宋体"/>
          <w:color w:val="000000"/>
          <w:sz w:val="28"/>
          <w:szCs w:val="28"/>
        </w:rPr>
        <w:t>1.主要技术参数：为鼓励不同品牌的充分竞争，如某主要技术参数属于个别品牌专有，则该主要技术参数不具有限制性，供应商可对该参数进行适当调整，并说明调整的理由。</w:t>
      </w:r>
    </w:p>
    <w:p>
      <w:pPr>
        <w:spacing w:line="600" w:lineRule="exact"/>
        <w:ind w:firstLine="560" w:firstLineChars="200"/>
        <w:rPr>
          <w:rFonts w:ascii="仿宋_GB2312" w:hAnsi="仿宋" w:eastAsia="仿宋_GB2312" w:cs="宋体"/>
          <w:color w:val="000000"/>
          <w:sz w:val="28"/>
          <w:szCs w:val="28"/>
        </w:rPr>
      </w:pPr>
      <w:r>
        <w:rPr>
          <w:rFonts w:hint="eastAsia" w:ascii="仿宋_GB2312" w:hAnsi="仿宋" w:eastAsia="仿宋_GB2312" w:cs="宋体"/>
          <w:color w:val="000000"/>
          <w:sz w:val="28"/>
          <w:szCs w:val="28"/>
        </w:rPr>
        <w:t>2</w:t>
      </w:r>
      <w:r>
        <w:rPr>
          <w:rFonts w:ascii="仿宋_GB2312" w:hAnsi="仿宋" w:eastAsia="仿宋_GB2312" w:cs="宋体"/>
          <w:color w:val="000000"/>
          <w:sz w:val="28"/>
          <w:szCs w:val="28"/>
        </w:rPr>
        <w:t>.</w:t>
      </w:r>
      <w:r>
        <w:rPr>
          <w:rFonts w:hint="eastAsia" w:ascii="仿宋_GB2312" w:hAnsi="仿宋" w:eastAsia="仿宋_GB2312" w:cs="宋体"/>
          <w:color w:val="000000"/>
          <w:sz w:val="28"/>
          <w:szCs w:val="28"/>
        </w:rPr>
        <w:t>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pPr>
        <w:spacing w:line="600" w:lineRule="exact"/>
        <w:ind w:firstLine="560" w:firstLineChars="200"/>
        <w:rPr>
          <w:rFonts w:ascii="黑体" w:hAnsi="黑体" w:eastAsia="黑体" w:cs="仿宋"/>
          <w:bCs/>
          <w:sz w:val="28"/>
          <w:szCs w:val="28"/>
        </w:rPr>
      </w:pPr>
      <w:r>
        <w:rPr>
          <w:rFonts w:hint="eastAsia" w:ascii="黑体" w:hAnsi="黑体" w:eastAsia="黑体" w:cs="仿宋"/>
          <w:bCs/>
          <w:sz w:val="28"/>
          <w:szCs w:val="28"/>
        </w:rPr>
        <w:t>二、项目背景</w:t>
      </w:r>
    </w:p>
    <w:p>
      <w:pPr>
        <w:spacing w:line="600" w:lineRule="exact"/>
        <w:ind w:firstLine="560" w:firstLineChars="200"/>
        <w:rPr>
          <w:rFonts w:ascii="仿宋_GB2312" w:hAnsi="仿宋" w:eastAsia="仿宋_GB2312" w:cs="宋体"/>
          <w:sz w:val="28"/>
          <w:szCs w:val="28"/>
        </w:rPr>
      </w:pPr>
      <w:r>
        <w:rPr>
          <w:rFonts w:hint="eastAsia" w:ascii="仿宋_GB2312" w:hAnsi="仿宋" w:eastAsia="仿宋_GB2312" w:cs="宋体"/>
          <w:sz w:val="28"/>
          <w:szCs w:val="28"/>
        </w:rPr>
        <w:t>近年来，南通高度重视未来产业发展，发布《关于加快培育发展未来产业的实施意见》，因地制宜打造未来产业地标。为进一步支撑生物医药未来产业发展，推动建设生物医药未来产业（长三角）产业创新联合体，强化科技文献资源赋能，南通市科技信息研究所拟采购生物医药专业数据库，更好助力南通生物医药产业积蓄新势能、拓展新赛道。</w:t>
      </w:r>
    </w:p>
    <w:p>
      <w:pPr>
        <w:spacing w:line="600" w:lineRule="exact"/>
        <w:ind w:firstLine="560" w:firstLineChars="200"/>
        <w:rPr>
          <w:rFonts w:ascii="黑体" w:hAnsi="黑体" w:eastAsia="黑体" w:cs="仿宋"/>
          <w:bCs/>
          <w:sz w:val="28"/>
          <w:szCs w:val="28"/>
        </w:rPr>
      </w:pPr>
      <w:r>
        <w:rPr>
          <w:rFonts w:hint="eastAsia" w:ascii="黑体" w:hAnsi="黑体" w:eastAsia="黑体" w:cs="仿宋"/>
          <w:bCs/>
          <w:sz w:val="28"/>
          <w:szCs w:val="28"/>
        </w:rPr>
        <w:t>三、项目目标</w:t>
      </w:r>
    </w:p>
    <w:p>
      <w:pPr>
        <w:spacing w:line="600" w:lineRule="exact"/>
        <w:ind w:firstLine="560" w:firstLineChars="200"/>
        <w:rPr>
          <w:rFonts w:ascii="仿宋_GB2312" w:hAnsi="仿宋" w:eastAsia="仿宋_GB2312" w:cs="宋体"/>
          <w:sz w:val="28"/>
          <w:szCs w:val="28"/>
        </w:rPr>
      </w:pPr>
      <w:r>
        <w:rPr>
          <w:rFonts w:hint="eastAsia" w:ascii="仿宋_GB2312" w:hAnsi="仿宋" w:eastAsia="仿宋_GB2312" w:cs="宋体"/>
          <w:sz w:val="28"/>
          <w:szCs w:val="28"/>
        </w:rPr>
        <w:t>强化科技文献战略资源作用，进一步助力生物医药各类创新主体研发人员实现“四大能力”提升，即新药研发和机理研究能力、产品创新风险评估能力、产品开发工艺改进能力以及产业创新动态跟踪能力等，更好支撑南通生物医药未来产业创新发展。</w:t>
      </w:r>
    </w:p>
    <w:p>
      <w:pPr>
        <w:spacing w:line="600" w:lineRule="exact"/>
        <w:ind w:firstLine="560" w:firstLineChars="200"/>
        <w:rPr>
          <w:rFonts w:ascii="黑体" w:hAnsi="黑体" w:eastAsia="黑体" w:cs="仿宋"/>
          <w:bCs/>
          <w:sz w:val="28"/>
          <w:szCs w:val="28"/>
        </w:rPr>
      </w:pPr>
      <w:r>
        <w:rPr>
          <w:rFonts w:hint="eastAsia" w:ascii="黑体" w:hAnsi="黑体" w:eastAsia="黑体" w:cs="仿宋"/>
          <w:bCs/>
          <w:sz w:val="28"/>
          <w:szCs w:val="28"/>
        </w:rPr>
        <w:t>四、服务内容</w:t>
      </w:r>
    </w:p>
    <w:p>
      <w:pPr>
        <w:spacing w:line="600" w:lineRule="exact"/>
        <w:ind w:firstLine="560" w:firstLineChars="200"/>
        <w:rPr>
          <w:rFonts w:ascii="楷体_GB2312" w:hAnsi="仿宋" w:eastAsia="楷体_GB2312" w:cs="仿宋"/>
          <w:bCs/>
          <w:sz w:val="28"/>
          <w:szCs w:val="28"/>
        </w:rPr>
      </w:pPr>
      <w:r>
        <w:rPr>
          <w:rFonts w:hint="eastAsia" w:ascii="楷体_GB2312" w:hAnsi="仿宋" w:eastAsia="楷体_GB2312" w:cs="仿宋"/>
          <w:bCs/>
          <w:sz w:val="28"/>
          <w:szCs w:val="28"/>
        </w:rPr>
        <w:t>（一）主要服务内容</w:t>
      </w:r>
    </w:p>
    <w:p>
      <w:pPr>
        <w:spacing w:line="600" w:lineRule="exact"/>
        <w:ind w:firstLine="562" w:firstLineChars="200"/>
        <w:rPr>
          <w:rFonts w:ascii="仿宋_GB2312" w:hAnsi="仿宋" w:eastAsia="仿宋_GB2312" w:cs="仿宋"/>
          <w:b/>
          <w:sz w:val="28"/>
          <w:szCs w:val="28"/>
        </w:rPr>
      </w:pPr>
      <w:r>
        <w:rPr>
          <w:rFonts w:hint="eastAsia" w:ascii="仿宋_GB2312" w:hAnsi="仿宋" w:eastAsia="仿宋_GB2312" w:cs="仿宋"/>
          <w:b/>
          <w:sz w:val="28"/>
          <w:szCs w:val="28"/>
        </w:rPr>
        <w:t>1.</w:t>
      </w:r>
      <w:bookmarkStart w:id="2" w:name="_Hlk180136645"/>
      <w:r>
        <w:rPr>
          <w:rFonts w:hint="eastAsia" w:ascii="仿宋_GB2312" w:hAnsi="仿宋" w:eastAsia="仿宋_GB2312" w:cs="仿宋"/>
          <w:b/>
          <w:sz w:val="28"/>
          <w:szCs w:val="28"/>
        </w:rPr>
        <w:t>生物医药专业文献数据资源底座</w:t>
      </w:r>
    </w:p>
    <w:bookmarkEnd w:id="2"/>
    <w:p>
      <w:pPr>
        <w:spacing w:line="60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基于大数据技术与人工智能技术，探索构建的专业化生物医药研发数据资源服务，旨在支撑南通生物医药各类创新主体进行产业研究及战略发展规划等活动。产品需包含药物、医疗器械、临床研究、产业投资生态、专利文献以及产业动态资讯等维度，以满足多元化需求：</w:t>
      </w:r>
      <w:r>
        <w:rPr>
          <w:rFonts w:hint="eastAsia" w:ascii="仿宋_GB2312" w:hAnsi="仿宋" w:eastAsia="仿宋_GB2312" w:cs="仿宋"/>
          <w:b/>
          <w:sz w:val="28"/>
          <w:szCs w:val="28"/>
        </w:rPr>
        <w:t>一是</w:t>
      </w:r>
      <w:r>
        <w:rPr>
          <w:rFonts w:hint="eastAsia" w:ascii="仿宋_GB2312" w:hAnsi="仿宋" w:eastAsia="仿宋_GB2312" w:cs="仿宋"/>
          <w:bCs/>
          <w:sz w:val="28"/>
          <w:szCs w:val="28"/>
        </w:rPr>
        <w:t>为企业主体提供靶点、适应症、治疗领域等分析，辅助发现热点研发领域，链接临床合作机构，助力规划产品管线、制定研发战略等；</w:t>
      </w:r>
      <w:r>
        <w:rPr>
          <w:rFonts w:hint="eastAsia" w:ascii="仿宋_GB2312" w:hAnsi="仿宋" w:eastAsia="仿宋_GB2312" w:cs="仿宋"/>
          <w:b/>
          <w:sz w:val="28"/>
          <w:szCs w:val="28"/>
        </w:rPr>
        <w:t>二是</w:t>
      </w:r>
      <w:r>
        <w:rPr>
          <w:rFonts w:hint="eastAsia" w:ascii="仿宋_GB2312" w:hAnsi="仿宋" w:eastAsia="仿宋_GB2312" w:cs="仿宋"/>
          <w:bCs/>
          <w:sz w:val="28"/>
          <w:szCs w:val="28"/>
        </w:rPr>
        <w:t>为产业研究人员提供产业生态研究支撑，主要提供赛道竞争与发展、产品价值、研发热点与技术水平等方面评估的数据资料；</w:t>
      </w:r>
      <w:r>
        <w:rPr>
          <w:rFonts w:hint="eastAsia" w:ascii="仿宋_GB2312" w:hAnsi="仿宋" w:eastAsia="仿宋_GB2312" w:cs="仿宋"/>
          <w:b/>
          <w:sz w:val="28"/>
          <w:szCs w:val="28"/>
        </w:rPr>
        <w:t>三是</w:t>
      </w:r>
      <w:r>
        <w:rPr>
          <w:rFonts w:hint="eastAsia" w:ascii="仿宋_GB2312" w:hAnsi="仿宋" w:eastAsia="仿宋_GB2312" w:cs="仿宋"/>
          <w:bCs/>
          <w:sz w:val="28"/>
          <w:szCs w:val="28"/>
        </w:rPr>
        <w:t>为园区产业集聚研究服务支持，提供国内外园区发展对标研究、产业布局策略、产业政策研究、资源配置建议、入驻主体潜力评估等方面的资料。底座需包含不少于1万余家生物医药企业、2000余家投资机构数据等资源。</w:t>
      </w:r>
    </w:p>
    <w:p>
      <w:pPr>
        <w:spacing w:line="600" w:lineRule="exact"/>
        <w:ind w:firstLine="560" w:firstLineChars="200"/>
        <w:rPr>
          <w:rFonts w:ascii="楷体_GB2312" w:hAnsi="仿宋" w:eastAsia="楷体_GB2312" w:cs="仿宋"/>
          <w:bCs/>
          <w:sz w:val="28"/>
          <w:szCs w:val="28"/>
        </w:rPr>
      </w:pPr>
      <w:r>
        <w:rPr>
          <w:rFonts w:hint="eastAsia" w:ascii="楷体_GB2312" w:hAnsi="仿宋" w:eastAsia="楷体_GB2312" w:cs="仿宋"/>
          <w:bCs/>
          <w:sz w:val="28"/>
          <w:szCs w:val="28"/>
        </w:rPr>
        <w:t>（二）辅助服务内容</w:t>
      </w:r>
    </w:p>
    <w:p>
      <w:pPr>
        <w:spacing w:line="60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根据需求，视情提供产业培训、项目研判等服务。</w:t>
      </w:r>
      <w:r>
        <w:rPr>
          <w:rFonts w:hint="eastAsia" w:ascii="仿宋_GB2312" w:hAnsi="仿宋" w:eastAsia="仿宋_GB2312" w:cs="仿宋"/>
          <w:b/>
          <w:sz w:val="28"/>
          <w:szCs w:val="28"/>
        </w:rPr>
        <w:t>一是</w:t>
      </w:r>
      <w:r>
        <w:rPr>
          <w:rFonts w:hint="eastAsia" w:ascii="仿宋_GB2312" w:hAnsi="仿宋" w:eastAsia="仿宋_GB2312" w:cs="仿宋"/>
          <w:bCs/>
          <w:sz w:val="28"/>
          <w:szCs w:val="28"/>
        </w:rPr>
        <w:t>支撑产业相关培训，根据产业专家信息，协助邀请行业专家为园区开展生物医药创新资源相关培训，内容结合南通市相关企业需求确定，可包括产业发展趋势、行业风口、技术热点、政策解读等，可采用线下、线上形式；</w:t>
      </w:r>
      <w:r>
        <w:rPr>
          <w:rFonts w:hint="eastAsia" w:ascii="仿宋_GB2312" w:hAnsi="仿宋" w:eastAsia="仿宋_GB2312" w:cs="仿宋"/>
          <w:b/>
          <w:sz w:val="28"/>
          <w:szCs w:val="28"/>
        </w:rPr>
        <w:t>二是</w:t>
      </w:r>
      <w:r>
        <w:rPr>
          <w:rFonts w:hint="eastAsia" w:ascii="仿宋_GB2312" w:hAnsi="仿宋" w:eastAsia="仿宋_GB2312" w:cs="仿宋"/>
          <w:bCs/>
          <w:sz w:val="28"/>
          <w:szCs w:val="28"/>
        </w:rPr>
        <w:t>辅助研判项目科技属性，配合开展项目科技属性评估，评估内容包括技术先进性、人才创新水平等。</w:t>
      </w:r>
    </w:p>
    <w:p>
      <w:pPr>
        <w:spacing w:line="600" w:lineRule="exact"/>
        <w:ind w:firstLine="560" w:firstLineChars="200"/>
        <w:rPr>
          <w:rFonts w:ascii="黑体" w:hAnsi="黑体" w:eastAsia="黑体" w:cs="仿宋"/>
          <w:bCs/>
          <w:sz w:val="28"/>
          <w:szCs w:val="28"/>
        </w:rPr>
      </w:pPr>
      <w:r>
        <w:rPr>
          <w:rFonts w:hint="eastAsia" w:ascii="黑体" w:hAnsi="黑体" w:eastAsia="黑体" w:cs="仿宋"/>
          <w:bCs/>
          <w:sz w:val="28"/>
          <w:szCs w:val="28"/>
        </w:rPr>
        <w:t>五、商务要求</w:t>
      </w:r>
    </w:p>
    <w:p>
      <w:pPr>
        <w:spacing w:line="60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1.服务期限：</w:t>
      </w:r>
      <w:r>
        <w:rPr>
          <w:rFonts w:hint="eastAsia" w:ascii="仿宋_GB2312" w:hAnsi="仿宋" w:eastAsia="仿宋_GB2312"/>
          <w:sz w:val="28"/>
          <w:szCs w:val="32"/>
        </w:rPr>
        <w:t>一年，自合同签订之日起计算。</w:t>
      </w:r>
    </w:p>
    <w:p>
      <w:pPr>
        <w:spacing w:line="60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2.付款条件和方式：</w:t>
      </w:r>
      <w:r>
        <w:rPr>
          <w:rFonts w:hint="eastAsia" w:ascii="仿宋_GB2312" w:hAnsi="仿宋" w:eastAsia="仿宋_GB2312"/>
          <w:sz w:val="28"/>
          <w:szCs w:val="28"/>
        </w:rPr>
        <w:t>合同签订后十五天内一次性支付所有款项。</w:t>
      </w:r>
    </w:p>
    <w:p>
      <w:pPr>
        <w:spacing w:line="600" w:lineRule="exact"/>
        <w:ind w:firstLine="562" w:firstLineChars="200"/>
        <w:rPr>
          <w:rFonts w:ascii="仿宋" w:hAnsi="仿宋" w:eastAsia="仿宋" w:cs="仿宋"/>
          <w:bCs/>
          <w:sz w:val="28"/>
          <w:szCs w:val="28"/>
        </w:rPr>
      </w:pPr>
      <w:r>
        <w:rPr>
          <w:rFonts w:ascii="仿宋" w:hAnsi="仿宋" w:eastAsia="仿宋" w:cs="仿宋"/>
          <w:b/>
          <w:sz w:val="28"/>
          <w:szCs w:val="28"/>
        </w:rPr>
        <w:br w:type="page"/>
      </w:r>
    </w:p>
    <w:p>
      <w:pPr>
        <w:pStyle w:val="2"/>
        <w:spacing w:before="0" w:after="0" w:line="600" w:lineRule="exact"/>
        <w:jc w:val="center"/>
        <w:rPr>
          <w:rFonts w:ascii="方正大标宋简体" w:hAnsi="仿宋" w:eastAsia="方正大标宋简体"/>
          <w:b w:val="0"/>
          <w:bCs w:val="0"/>
        </w:rPr>
      </w:pPr>
      <w:r>
        <w:rPr>
          <w:rFonts w:hint="eastAsia" w:ascii="方正大标宋简体" w:hAnsi="仿宋" w:eastAsia="方正大标宋简体"/>
          <w:b w:val="0"/>
          <w:bCs w:val="0"/>
        </w:rPr>
        <w:t>第三部分 评审程序和内容</w:t>
      </w:r>
    </w:p>
    <w:p>
      <w:pPr>
        <w:widowControl/>
        <w:shd w:val="clear" w:color="auto" w:fill="FFFFFF"/>
        <w:spacing w:line="600" w:lineRule="exact"/>
        <w:ind w:firstLine="560" w:firstLineChars="200"/>
        <w:jc w:val="left"/>
        <w:rPr>
          <w:rFonts w:ascii="黑体" w:hAnsi="黑体" w:eastAsia="黑体" w:cs="仿宋"/>
          <w:bCs/>
          <w:sz w:val="28"/>
          <w:szCs w:val="28"/>
        </w:rPr>
      </w:pPr>
      <w:r>
        <w:rPr>
          <w:rFonts w:hint="eastAsia" w:ascii="黑体" w:hAnsi="黑体" w:eastAsia="黑体" w:cs="仿宋"/>
          <w:bCs/>
          <w:sz w:val="28"/>
          <w:szCs w:val="28"/>
        </w:rPr>
        <w:t>一、磋商活动组织流程</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bCs/>
          <w:sz w:val="28"/>
          <w:szCs w:val="28"/>
        </w:rPr>
        <w:t>成立竞争性磋商小组。</w:t>
      </w:r>
      <w:r>
        <w:rPr>
          <w:rFonts w:hint="eastAsia" w:ascii="仿宋_GB2312" w:hAnsi="仿宋" w:eastAsia="仿宋_GB2312" w:cs="仿宋"/>
          <w:sz w:val="28"/>
          <w:szCs w:val="28"/>
        </w:rPr>
        <w:t>竞争性磋商小组由采购人代表和评审专家共3人以上单数组成，其中评审专家人数不得少于竞争性磋商小组成员总数的2/3。</w:t>
      </w:r>
    </w:p>
    <w:p>
      <w:pPr>
        <w:widowControl/>
        <w:shd w:val="clear" w:color="auto" w:fill="FFFFFF"/>
        <w:spacing w:line="600" w:lineRule="exact"/>
        <w:ind w:firstLine="560" w:firstLineChars="200"/>
        <w:jc w:val="left"/>
        <w:rPr>
          <w:rFonts w:ascii="仿宋_GB2312" w:hAnsi="仿宋" w:eastAsia="仿宋_GB2312" w:cs="仿宋"/>
          <w:bCs/>
          <w:sz w:val="28"/>
          <w:szCs w:val="28"/>
        </w:rPr>
      </w:pPr>
      <w:r>
        <w:rPr>
          <w:rFonts w:hint="eastAsia" w:ascii="仿宋_GB2312" w:hAnsi="仿宋" w:eastAsia="仿宋_GB2312" w:cs="仿宋"/>
          <w:bCs/>
          <w:sz w:val="28"/>
          <w:szCs w:val="28"/>
        </w:rPr>
        <w:t>2.竞争性磋商小组的职责：</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说明情况。</w:t>
      </w:r>
    </w:p>
    <w:p>
      <w:pPr>
        <w:widowControl/>
        <w:shd w:val="clear" w:color="auto" w:fill="FFFFFF"/>
        <w:spacing w:line="600" w:lineRule="exact"/>
        <w:ind w:firstLine="560" w:firstLineChars="200"/>
        <w:jc w:val="left"/>
        <w:rPr>
          <w:rFonts w:ascii="仿宋_GB2312" w:hAnsi="仿宋" w:eastAsia="仿宋_GB2312" w:cs="仿宋"/>
          <w:bCs/>
          <w:sz w:val="28"/>
          <w:szCs w:val="28"/>
        </w:rPr>
      </w:pPr>
      <w:r>
        <w:rPr>
          <w:rFonts w:hint="eastAsia" w:ascii="仿宋_GB2312" w:hAnsi="仿宋" w:eastAsia="仿宋_GB2312" w:cs="仿宋"/>
          <w:bCs/>
          <w:sz w:val="28"/>
          <w:szCs w:val="28"/>
        </w:rPr>
        <w:t>3.竞争性磋商小组成员的义务：</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遵纪守法，客观、公正、廉洁地履行职责；根据采购文件的规定独立进行评审，对个人的评审意见承担法律责任；参与评审报告的起草；配合采购人答复供应商提出的质疑；配合财政部门的投诉处理和监督检查工作。</w:t>
      </w:r>
    </w:p>
    <w:p>
      <w:pPr>
        <w:widowControl/>
        <w:shd w:val="clear" w:color="auto" w:fill="FFFFFF"/>
        <w:spacing w:line="600" w:lineRule="exact"/>
        <w:ind w:firstLine="560" w:firstLineChars="200"/>
        <w:jc w:val="left"/>
        <w:rPr>
          <w:rFonts w:ascii="黑体" w:hAnsi="黑体" w:eastAsia="黑体" w:cs="仿宋"/>
          <w:bCs/>
          <w:sz w:val="28"/>
          <w:szCs w:val="28"/>
        </w:rPr>
      </w:pPr>
      <w:r>
        <w:rPr>
          <w:rFonts w:hint="eastAsia" w:ascii="黑体" w:hAnsi="黑体" w:eastAsia="黑体" w:cs="仿宋"/>
          <w:bCs/>
          <w:sz w:val="28"/>
          <w:szCs w:val="28"/>
        </w:rPr>
        <w:t>二、供应商的法定代表人或授权人须持身份证准时参加磋商</w:t>
      </w:r>
    </w:p>
    <w:p>
      <w:pPr>
        <w:widowControl/>
        <w:shd w:val="clear" w:color="auto" w:fill="FFFFFF"/>
        <w:spacing w:line="600" w:lineRule="exact"/>
        <w:ind w:firstLine="560" w:firstLineChars="200"/>
        <w:jc w:val="left"/>
        <w:rPr>
          <w:rFonts w:ascii="黑体" w:hAnsi="黑体" w:eastAsia="黑体" w:cs="仿宋"/>
          <w:bCs/>
          <w:sz w:val="28"/>
          <w:szCs w:val="28"/>
        </w:rPr>
      </w:pPr>
      <w:r>
        <w:rPr>
          <w:rFonts w:hint="eastAsia" w:ascii="黑体" w:hAnsi="黑体" w:eastAsia="黑体" w:cs="仿宋"/>
          <w:bCs/>
          <w:sz w:val="28"/>
          <w:szCs w:val="28"/>
        </w:rPr>
        <w:t>三、评审程序、内容</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1.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2.磋商小组所有成员应当集中与单一供应商分别进行磋商，并给予所有参加磋商的供应商平等的磋商机会。</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3.在磋商过程中，磋商小组可以根据磋商文件和磋商情况实质性变动采购需求中的技术、服务要求以及合同草案条款，但不得变动磋商文件中的其他内容。实质性变动的内容，须经采购人代表确认。</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对磋商文件作出的实质性变动是磋商文件的有效组成部分，磋商小组应当及时以书面形式同时通知所有参加磋商的供应商。</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4.磋商文件能够详细列明采购标的的技术、服务要求的，磋商结束后，磋商小组应当要求所有实质性响应的供应商在规定时间内提交最后报价。</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市场竞争不充分的科研项目，以及需要扶持的科技成果转化项目，提交最后报价的供应商可以是2家。</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5.最后报价是供应商响应文件的有效组成部分。</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6.已提交响应文件的供应商，在提交最后报价之前，可以根据磋商情况退出磋商。</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7.磋商时间由磋商小组掌握。</w:t>
      </w:r>
    </w:p>
    <w:p>
      <w:pPr>
        <w:widowControl/>
        <w:shd w:val="clear" w:color="auto" w:fill="FFFFFF"/>
        <w:spacing w:line="600" w:lineRule="exact"/>
        <w:ind w:firstLine="560" w:firstLineChars="200"/>
        <w:jc w:val="left"/>
        <w:rPr>
          <w:rFonts w:ascii="黑体" w:hAnsi="黑体" w:eastAsia="黑体" w:cs="仿宋"/>
          <w:bCs/>
          <w:sz w:val="28"/>
          <w:szCs w:val="28"/>
        </w:rPr>
      </w:pPr>
      <w:r>
        <w:rPr>
          <w:rFonts w:hint="eastAsia" w:ascii="黑体" w:hAnsi="黑体" w:eastAsia="黑体" w:cs="仿宋"/>
          <w:bCs/>
          <w:sz w:val="28"/>
          <w:szCs w:val="28"/>
        </w:rPr>
        <w:t>四、评审方法-综合评分法</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经磋商确定最终采购需求和提交最后报价的供应商后，由磋商小组采用综合评分法对提交最后报价的供应商的响应文件和最后报价进行综合评分。</w:t>
      </w:r>
    </w:p>
    <w:p>
      <w:pPr>
        <w:widowControl/>
        <w:shd w:val="clear" w:color="auto" w:fill="FFFFFF"/>
        <w:spacing w:line="600" w:lineRule="exact"/>
        <w:ind w:firstLine="562" w:firstLineChars="200"/>
        <w:jc w:val="left"/>
        <w:rPr>
          <w:rFonts w:ascii="仿宋_GB2312" w:hAnsi="仿宋" w:eastAsia="仿宋_GB2312" w:cs="仿宋"/>
          <w:b/>
          <w:sz w:val="28"/>
          <w:szCs w:val="28"/>
        </w:rPr>
      </w:pPr>
      <w:r>
        <w:rPr>
          <w:rFonts w:hint="eastAsia" w:ascii="仿宋_GB2312" w:hAnsi="仿宋" w:eastAsia="仿宋_GB2312" w:cs="仿宋"/>
          <w:b/>
          <w:sz w:val="28"/>
          <w:szCs w:val="28"/>
        </w:rPr>
        <w:t>综合评分法，是指响应文件满足磋商文件全部实质性要求且按评审因素的量化指标评审得分最高的供应商为成交候选供应商的评审方法。</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评审时，磋商小组各成员应当独立对每个有效响应的文件进行评价、打分，然后汇总每个供应商每项评分因素的得分。</w:t>
      </w:r>
    </w:p>
    <w:p>
      <w:pPr>
        <w:widowControl/>
        <w:shd w:val="clear" w:color="auto" w:fill="FFFFFF"/>
        <w:spacing w:line="600" w:lineRule="exact"/>
        <w:ind w:firstLine="562" w:firstLineChars="200"/>
        <w:jc w:val="left"/>
        <w:rPr>
          <w:rFonts w:ascii="楷体_GB2312" w:hAnsi="仿宋" w:eastAsia="楷体_GB2312" w:cs="仿宋"/>
          <w:b/>
          <w:sz w:val="28"/>
          <w:szCs w:val="28"/>
        </w:rPr>
      </w:pPr>
      <w:r>
        <w:rPr>
          <w:rFonts w:hint="eastAsia" w:ascii="楷体_GB2312" w:hAnsi="仿宋" w:eastAsia="楷体_GB2312" w:cs="仿宋"/>
          <w:b/>
          <w:sz w:val="28"/>
          <w:szCs w:val="28"/>
        </w:rPr>
        <w:t>（一）审查响应文件的有效性、完整性、响应程度</w:t>
      </w:r>
    </w:p>
    <w:p>
      <w:pPr>
        <w:widowControl/>
        <w:shd w:val="clear" w:color="auto" w:fill="FFFFFF"/>
        <w:spacing w:line="600" w:lineRule="exact"/>
        <w:ind w:firstLine="562" w:firstLineChars="200"/>
        <w:jc w:val="left"/>
        <w:rPr>
          <w:rFonts w:ascii="仿宋_GB2312" w:hAnsi="仿宋" w:eastAsia="仿宋_GB2312" w:cs="仿宋"/>
          <w:b/>
          <w:bCs/>
          <w:sz w:val="28"/>
          <w:szCs w:val="28"/>
        </w:rPr>
      </w:pPr>
      <w:r>
        <w:rPr>
          <w:rFonts w:hint="eastAsia" w:ascii="仿宋_GB2312" w:hAnsi="仿宋" w:eastAsia="仿宋_GB2312" w:cs="仿宋"/>
          <w:b/>
          <w:bCs/>
          <w:sz w:val="28"/>
          <w:szCs w:val="28"/>
        </w:rPr>
        <w:t>1.供应商资格是否符合；</w:t>
      </w:r>
    </w:p>
    <w:p>
      <w:pPr>
        <w:widowControl/>
        <w:shd w:val="clear" w:color="auto" w:fill="FFFFFF"/>
        <w:spacing w:line="600" w:lineRule="exact"/>
        <w:ind w:firstLine="560" w:firstLineChars="200"/>
        <w:jc w:val="left"/>
        <w:rPr>
          <w:rFonts w:ascii="仿宋_GB2312" w:hAnsi="仿宋" w:eastAsia="仿宋_GB2312" w:cs="仿宋"/>
          <w:bCs/>
          <w:sz w:val="28"/>
          <w:szCs w:val="28"/>
        </w:rPr>
      </w:pPr>
      <w:r>
        <w:rPr>
          <w:rFonts w:hint="eastAsia" w:ascii="仿宋_GB2312" w:hAnsi="仿宋" w:eastAsia="仿宋_GB2312" w:cs="仿宋"/>
          <w:bCs/>
          <w:sz w:val="28"/>
          <w:szCs w:val="28"/>
        </w:rPr>
        <w:t>2.响应文件是否完整；</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3.响应文件是否恰当地签署；</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4.是否作出实质性响应（是否有实质性响应，只根据响应文件本身，而不寻求外部证据）；</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5.是否有计算错误。</w:t>
      </w:r>
    </w:p>
    <w:p>
      <w:pPr>
        <w:widowControl/>
        <w:shd w:val="clear" w:color="auto" w:fill="FFFFFF"/>
        <w:spacing w:line="600" w:lineRule="exact"/>
        <w:ind w:firstLine="562" w:firstLineChars="200"/>
        <w:jc w:val="left"/>
        <w:rPr>
          <w:rFonts w:ascii="仿宋_GB2312" w:hAnsi="仿宋" w:eastAsia="仿宋_GB2312" w:cs="仿宋"/>
          <w:b/>
          <w:sz w:val="28"/>
          <w:szCs w:val="28"/>
        </w:rPr>
      </w:pPr>
      <w:r>
        <w:rPr>
          <w:rFonts w:hint="eastAsia" w:ascii="仿宋_GB2312" w:hAnsi="仿宋" w:eastAsia="仿宋_GB2312" w:cs="仿宋"/>
          <w:b/>
          <w:sz w:val="28"/>
          <w:szCs w:val="28"/>
        </w:rPr>
        <w:t>（二）误差纠正</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1.如果单价汇总金额与总价金额有出入，以单价金额计算结果为准；</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2.单价金额小数点有明显错位的，应以总价为准；</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3.正本与副本有矛盾的，以正本为准；</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4.若文件大写表示的数据与数字表示的有差别，以大写表示的数据为准。</w:t>
      </w:r>
    </w:p>
    <w:p>
      <w:pPr>
        <w:widowControl/>
        <w:shd w:val="clear" w:color="auto" w:fill="FFFFFF"/>
        <w:spacing w:line="600" w:lineRule="exact"/>
        <w:ind w:firstLine="562" w:firstLineChars="200"/>
        <w:jc w:val="left"/>
        <w:rPr>
          <w:rFonts w:ascii="仿宋_GB2312" w:hAnsi="仿宋" w:eastAsia="仿宋_GB2312" w:cs="仿宋"/>
          <w:b/>
          <w:sz w:val="28"/>
          <w:szCs w:val="28"/>
        </w:rPr>
      </w:pPr>
      <w:r>
        <w:rPr>
          <w:rFonts w:hint="eastAsia" w:ascii="仿宋_GB2312" w:hAnsi="仿宋" w:eastAsia="仿宋_GB2312" w:cs="仿宋"/>
          <w:b/>
          <w:sz w:val="28"/>
          <w:szCs w:val="28"/>
        </w:rPr>
        <w:t>（三）出现下列情形之一的，作无效响应处理</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1.未按照磋商文件规定要求装订、密封、签署、盖章的；</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2.不具备磋商文件中规定的资格要求的；</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3.响应报价超出预算的；</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4.不符合法律、法规和磋商文件中规定的其他实质性要求的。</w:t>
      </w:r>
    </w:p>
    <w:p>
      <w:pPr>
        <w:widowControl/>
        <w:shd w:val="clear" w:color="auto" w:fill="FFFFFF"/>
        <w:spacing w:line="600" w:lineRule="exact"/>
        <w:ind w:firstLine="562" w:firstLineChars="200"/>
        <w:jc w:val="left"/>
        <w:rPr>
          <w:rFonts w:ascii="仿宋_GB2312" w:hAnsi="仿宋" w:eastAsia="仿宋_GB2312" w:cs="仿宋"/>
          <w:b/>
          <w:sz w:val="28"/>
          <w:szCs w:val="28"/>
        </w:rPr>
      </w:pPr>
      <w:r>
        <w:rPr>
          <w:rFonts w:hint="eastAsia" w:ascii="仿宋_GB2312" w:hAnsi="仿宋" w:eastAsia="仿宋_GB2312" w:cs="仿宋"/>
          <w:b/>
          <w:sz w:val="28"/>
          <w:szCs w:val="28"/>
        </w:rPr>
        <w:t>（四）出现下列情形之一的，磋商失败</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1.符合条件的供应商或者对磋商文件作实质响应的供应商不足3家的（市场竞争不充分的科研项目，以及需要扶持的科技成果转化项目可以是2家）；</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2.出现影响采购公正的违法违规行为的；</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3.供应商的最后报价均超过了采购预算，采购人不能支付的；</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4.因重大变故，采购任务取消的。</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除资格性检查认定错误、分值汇总计算错误、分项评分超出评分标准范围、客观分评分不一致、经磋商小组一致认定评分畸高、畸低的情形外，采购人不以任何理由组织重新评审。采购人发现磋商小组未按照磋商文件规定的评审标准进行评审的，重新开展采购活动，并同时书面报告本级财政部门。</w:t>
      </w:r>
    </w:p>
    <w:p>
      <w:pPr>
        <w:widowControl/>
        <w:shd w:val="clear" w:color="auto" w:fill="FFFFFF"/>
        <w:spacing w:line="600" w:lineRule="exact"/>
        <w:ind w:firstLine="560" w:firstLineChars="200"/>
        <w:jc w:val="left"/>
        <w:rPr>
          <w:rFonts w:ascii="黑体" w:hAnsi="黑体" w:eastAsia="黑体" w:cs="仿宋"/>
          <w:bCs/>
          <w:sz w:val="28"/>
          <w:szCs w:val="28"/>
        </w:rPr>
      </w:pPr>
      <w:r>
        <w:rPr>
          <w:rFonts w:hint="eastAsia" w:ascii="黑体" w:hAnsi="黑体" w:eastAsia="黑体" w:cs="仿宋"/>
          <w:bCs/>
          <w:sz w:val="28"/>
          <w:szCs w:val="28"/>
        </w:rPr>
        <w:t>五、评审标准</w:t>
      </w:r>
    </w:p>
    <w:p>
      <w:pPr>
        <w:widowControl/>
        <w:shd w:val="clear" w:color="auto" w:fill="FFFFFF"/>
        <w:spacing w:line="600" w:lineRule="exact"/>
        <w:ind w:firstLine="560" w:firstLineChars="200"/>
        <w:jc w:val="left"/>
        <w:rPr>
          <w:rFonts w:ascii="仿宋_GB2312" w:hAnsi="仿宋" w:eastAsia="仿宋_GB2312" w:cs="仿宋"/>
          <w:bCs/>
          <w:sz w:val="28"/>
          <w:szCs w:val="28"/>
        </w:rPr>
      </w:pPr>
      <w:r>
        <w:rPr>
          <w:rFonts w:hint="eastAsia" w:ascii="仿宋_GB2312" w:hAnsi="仿宋" w:eastAsia="仿宋_GB2312" w:cs="仿宋"/>
          <w:bCs/>
          <w:sz w:val="28"/>
          <w:szCs w:val="28"/>
        </w:rPr>
        <w:t>（一）商务技术分：80分</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如果磋商小组由3人组成，供应商得分为磋商小组3个成员的平均分；如果磋商小组由5人以上组成，供应商得分为磋商小组成员评分中去除一个最高分和一个最低分后的平均分,分值保留小数点后两位。以下所设分值均为各条评分最大得分值。</w:t>
      </w: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709"/>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tcBorders>
              <w:tl2br w:val="nil"/>
              <w:tr2bl w:val="nil"/>
            </w:tcBorders>
            <w:vAlign w:val="center"/>
          </w:tcPr>
          <w:p>
            <w:pPr>
              <w:widowControl/>
              <w:shd w:val="clear" w:color="auto" w:fill="FFFFFF"/>
              <w:spacing w:line="360" w:lineRule="auto"/>
              <w:jc w:val="center"/>
              <w:rPr>
                <w:rFonts w:ascii="黑体" w:hAnsi="黑体" w:eastAsia="黑体" w:cs="仿宋"/>
                <w:sz w:val="22"/>
              </w:rPr>
            </w:pPr>
            <w:r>
              <w:rPr>
                <w:rFonts w:hint="eastAsia" w:ascii="黑体" w:hAnsi="黑体" w:eastAsia="黑体" w:cs="仿宋"/>
                <w:sz w:val="22"/>
              </w:rPr>
              <w:t>序号</w:t>
            </w:r>
          </w:p>
        </w:tc>
        <w:tc>
          <w:tcPr>
            <w:tcW w:w="1701" w:type="dxa"/>
            <w:tcBorders>
              <w:tl2br w:val="nil"/>
              <w:tr2bl w:val="nil"/>
            </w:tcBorders>
            <w:vAlign w:val="center"/>
          </w:tcPr>
          <w:p>
            <w:pPr>
              <w:widowControl/>
              <w:shd w:val="clear" w:color="auto" w:fill="FFFFFF"/>
              <w:spacing w:line="360" w:lineRule="auto"/>
              <w:jc w:val="center"/>
              <w:rPr>
                <w:rFonts w:ascii="黑体" w:hAnsi="黑体" w:eastAsia="黑体" w:cs="仿宋"/>
                <w:sz w:val="22"/>
              </w:rPr>
            </w:pPr>
            <w:r>
              <w:rPr>
                <w:rFonts w:hint="eastAsia" w:ascii="黑体" w:hAnsi="黑体" w:eastAsia="黑体" w:cs="仿宋"/>
                <w:sz w:val="22"/>
              </w:rPr>
              <w:t>评分点名称</w:t>
            </w:r>
          </w:p>
        </w:tc>
        <w:tc>
          <w:tcPr>
            <w:tcW w:w="709" w:type="dxa"/>
            <w:tcBorders>
              <w:tl2br w:val="nil"/>
              <w:tr2bl w:val="nil"/>
            </w:tcBorders>
            <w:vAlign w:val="center"/>
          </w:tcPr>
          <w:p>
            <w:pPr>
              <w:widowControl/>
              <w:shd w:val="clear" w:color="auto" w:fill="FFFFFF"/>
              <w:spacing w:line="360" w:lineRule="auto"/>
              <w:jc w:val="center"/>
              <w:rPr>
                <w:rFonts w:ascii="黑体" w:hAnsi="黑体" w:eastAsia="黑体" w:cs="仿宋"/>
                <w:sz w:val="22"/>
              </w:rPr>
            </w:pPr>
            <w:r>
              <w:rPr>
                <w:rFonts w:hint="eastAsia" w:ascii="黑体" w:hAnsi="黑体" w:eastAsia="黑体" w:cs="仿宋"/>
                <w:sz w:val="22"/>
              </w:rPr>
              <w:t>分值</w:t>
            </w:r>
          </w:p>
        </w:tc>
        <w:tc>
          <w:tcPr>
            <w:tcW w:w="5953" w:type="dxa"/>
            <w:tcBorders>
              <w:tl2br w:val="nil"/>
              <w:tr2bl w:val="nil"/>
            </w:tcBorders>
            <w:vAlign w:val="center"/>
          </w:tcPr>
          <w:p>
            <w:pPr>
              <w:widowControl/>
              <w:shd w:val="clear" w:color="auto" w:fill="FFFFFF"/>
              <w:spacing w:line="360" w:lineRule="auto"/>
              <w:ind w:firstLine="440" w:firstLineChars="200"/>
              <w:jc w:val="center"/>
              <w:rPr>
                <w:rFonts w:ascii="黑体" w:hAnsi="黑体" w:eastAsia="黑体" w:cs="仿宋"/>
                <w:sz w:val="22"/>
              </w:rPr>
            </w:pPr>
            <w:r>
              <w:rPr>
                <w:rFonts w:hint="eastAsia" w:ascii="黑体" w:hAnsi="黑体" w:eastAsia="黑体" w:cs="仿宋"/>
                <w:sz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vAlign w:val="center"/>
          </w:tcPr>
          <w:p>
            <w:pPr>
              <w:widowControl/>
              <w:shd w:val="clear" w:color="auto" w:fill="FFFFFF"/>
              <w:spacing w:line="280" w:lineRule="exact"/>
              <w:ind w:firstLine="220" w:firstLineChars="100"/>
              <w:jc w:val="left"/>
              <w:rPr>
                <w:rFonts w:ascii="仿宋_GB2312" w:hAnsi="仿宋" w:eastAsia="仿宋_GB2312" w:cs="仿宋"/>
                <w:sz w:val="22"/>
              </w:rPr>
            </w:pPr>
            <w:r>
              <w:rPr>
                <w:rFonts w:hint="eastAsia" w:ascii="仿宋_GB2312" w:hAnsi="仿宋" w:eastAsia="仿宋_GB2312" w:cs="仿宋"/>
                <w:sz w:val="22"/>
              </w:rPr>
              <w:t>1</w:t>
            </w:r>
          </w:p>
        </w:tc>
        <w:tc>
          <w:tcPr>
            <w:tcW w:w="1701" w:type="dxa"/>
            <w:tcBorders>
              <w:tl2br w:val="nil"/>
              <w:tr2bl w:val="nil"/>
            </w:tcBorders>
            <w:vAlign w:val="center"/>
          </w:tcPr>
          <w:p>
            <w:pPr>
              <w:widowControl/>
              <w:shd w:val="clear" w:color="auto" w:fill="FFFFFF"/>
              <w:spacing w:line="280" w:lineRule="exact"/>
              <w:jc w:val="center"/>
              <w:rPr>
                <w:rFonts w:ascii="仿宋_GB2312" w:hAnsi="仿宋" w:eastAsia="仿宋_GB2312" w:cs="Times New Roman"/>
                <w:kern w:val="0"/>
                <w:sz w:val="22"/>
              </w:rPr>
            </w:pPr>
            <w:r>
              <w:rPr>
                <w:rFonts w:hint="eastAsia" w:ascii="仿宋_GB2312" w:hAnsi="仿宋" w:eastAsia="仿宋_GB2312" w:cs="Times New Roman"/>
                <w:kern w:val="0"/>
                <w:sz w:val="22"/>
              </w:rPr>
              <w:t>资质条件</w:t>
            </w:r>
          </w:p>
        </w:tc>
        <w:tc>
          <w:tcPr>
            <w:tcW w:w="709" w:type="dxa"/>
            <w:tcBorders>
              <w:tl2br w:val="nil"/>
              <w:tr2bl w:val="nil"/>
            </w:tcBorders>
            <w:vAlign w:val="center"/>
          </w:tcPr>
          <w:p>
            <w:pPr>
              <w:widowControl/>
              <w:shd w:val="clear" w:color="auto" w:fill="FFFFFF"/>
              <w:spacing w:line="280" w:lineRule="exact"/>
              <w:jc w:val="center"/>
              <w:rPr>
                <w:rFonts w:ascii="仿宋_GB2312" w:hAnsi="仿宋" w:eastAsia="仿宋_GB2312"/>
                <w:kern w:val="0"/>
                <w:sz w:val="22"/>
              </w:rPr>
            </w:pPr>
            <w:r>
              <w:rPr>
                <w:rFonts w:hint="eastAsia" w:ascii="仿宋_GB2312" w:hAnsi="仿宋" w:eastAsia="仿宋_GB2312"/>
                <w:kern w:val="0"/>
                <w:sz w:val="22"/>
              </w:rPr>
              <w:t>2</w:t>
            </w:r>
            <w:r>
              <w:rPr>
                <w:rFonts w:ascii="仿宋_GB2312" w:hAnsi="仿宋" w:eastAsia="仿宋_GB2312"/>
                <w:kern w:val="0"/>
                <w:sz w:val="22"/>
              </w:rPr>
              <w:t>0</w:t>
            </w:r>
          </w:p>
        </w:tc>
        <w:tc>
          <w:tcPr>
            <w:tcW w:w="5953" w:type="dxa"/>
            <w:tcBorders>
              <w:tl2br w:val="nil"/>
              <w:tr2bl w:val="nil"/>
            </w:tcBorders>
            <w:vAlign w:val="center"/>
          </w:tcPr>
          <w:p>
            <w:pPr>
              <w:widowControl/>
              <w:shd w:val="clear" w:color="auto" w:fill="FFFFFF"/>
              <w:spacing w:line="280" w:lineRule="exact"/>
              <w:jc w:val="left"/>
              <w:rPr>
                <w:rFonts w:ascii="仿宋_GB2312" w:hAnsi="仿宋" w:eastAsia="仿宋_GB2312"/>
                <w:kern w:val="0"/>
                <w:sz w:val="22"/>
              </w:rPr>
            </w:pPr>
            <w:r>
              <w:rPr>
                <w:rFonts w:hint="eastAsia" w:ascii="仿宋_GB2312" w:hAnsi="仿宋" w:eastAsia="仿宋_GB2312"/>
                <w:kern w:val="0"/>
                <w:sz w:val="22"/>
              </w:rPr>
              <w:t>1.拥有AAA级信誉咨询机构、国家科技文献收藏单位、国家知识产权分析评议服务示范创建机构等或具有同等条件资质等级；每符合一个条件得6分，最高不超过18分。</w:t>
            </w:r>
          </w:p>
          <w:p>
            <w:pPr>
              <w:widowControl/>
              <w:shd w:val="clear" w:color="auto" w:fill="FFFFFF"/>
              <w:spacing w:line="280" w:lineRule="exact"/>
              <w:jc w:val="left"/>
              <w:rPr>
                <w:rFonts w:ascii="仿宋_GB2312" w:hAnsi="仿宋" w:eastAsia="仿宋_GB2312"/>
                <w:kern w:val="0"/>
                <w:sz w:val="22"/>
              </w:rPr>
            </w:pPr>
            <w:r>
              <w:rPr>
                <w:rFonts w:hint="eastAsia" w:ascii="仿宋_GB2312" w:hAnsi="仿宋" w:eastAsia="仿宋_GB2312"/>
                <w:kern w:val="0"/>
                <w:sz w:val="22"/>
              </w:rPr>
              <w:t>2.供应商具有馆藏丰富、结构合理、特色显著的中外科技电子资源体系且资源总量在亿级以上；符合条件的得7分。</w:t>
            </w:r>
          </w:p>
          <w:p>
            <w:pPr>
              <w:widowControl/>
              <w:shd w:val="clear" w:color="auto" w:fill="FFFFFF"/>
              <w:spacing w:line="280" w:lineRule="exact"/>
              <w:jc w:val="left"/>
              <w:rPr>
                <w:rFonts w:ascii="仿宋_GB2312" w:hAnsi="仿宋" w:eastAsia="仿宋_GB2312"/>
                <w:kern w:val="0"/>
                <w:sz w:val="22"/>
              </w:rPr>
            </w:pPr>
            <w:r>
              <w:rPr>
                <w:rFonts w:hint="eastAsia" w:ascii="仿宋_GB2312" w:hAnsi="仿宋" w:eastAsia="仿宋_GB2312"/>
                <w:kern w:val="0"/>
                <w:sz w:val="22"/>
              </w:rPr>
              <w:t>注：须提供相关证明材料复印件并加盖公章。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vAlign w:val="center"/>
          </w:tcPr>
          <w:p>
            <w:pPr>
              <w:widowControl/>
              <w:shd w:val="clear" w:color="auto" w:fill="FFFFFF"/>
              <w:spacing w:line="280" w:lineRule="exact"/>
              <w:ind w:firstLine="220" w:firstLineChars="100"/>
              <w:jc w:val="left"/>
              <w:rPr>
                <w:rFonts w:ascii="仿宋_GB2312" w:hAnsi="仿宋" w:eastAsia="仿宋_GB2312" w:cs="仿宋"/>
                <w:sz w:val="22"/>
              </w:rPr>
            </w:pPr>
            <w:r>
              <w:rPr>
                <w:rFonts w:hint="eastAsia" w:ascii="仿宋_GB2312" w:hAnsi="仿宋" w:eastAsia="仿宋_GB2312" w:cs="仿宋"/>
                <w:sz w:val="22"/>
              </w:rPr>
              <w:t>2</w:t>
            </w:r>
          </w:p>
        </w:tc>
        <w:tc>
          <w:tcPr>
            <w:tcW w:w="1701" w:type="dxa"/>
            <w:tcBorders>
              <w:tl2br w:val="nil"/>
              <w:tr2bl w:val="nil"/>
            </w:tcBorders>
            <w:vAlign w:val="center"/>
          </w:tcPr>
          <w:p>
            <w:pPr>
              <w:widowControl/>
              <w:shd w:val="clear" w:color="auto" w:fill="FFFFFF"/>
              <w:spacing w:line="280" w:lineRule="exact"/>
              <w:jc w:val="center"/>
              <w:rPr>
                <w:rFonts w:ascii="仿宋_GB2312" w:hAnsi="仿宋" w:eastAsia="仿宋_GB2312" w:cs="Times New Roman"/>
                <w:kern w:val="0"/>
                <w:sz w:val="22"/>
              </w:rPr>
            </w:pPr>
            <w:r>
              <w:rPr>
                <w:rFonts w:hint="eastAsia" w:ascii="仿宋_GB2312" w:hAnsi="仿宋" w:eastAsia="仿宋_GB2312"/>
                <w:kern w:val="0"/>
                <w:sz w:val="22"/>
              </w:rPr>
              <w:t>项目实施计划</w:t>
            </w:r>
          </w:p>
        </w:tc>
        <w:tc>
          <w:tcPr>
            <w:tcW w:w="709" w:type="dxa"/>
            <w:tcBorders>
              <w:tl2br w:val="nil"/>
              <w:tr2bl w:val="nil"/>
            </w:tcBorders>
            <w:vAlign w:val="center"/>
          </w:tcPr>
          <w:p>
            <w:pPr>
              <w:widowControl/>
              <w:shd w:val="clear" w:color="auto" w:fill="FFFFFF"/>
              <w:spacing w:line="280" w:lineRule="exact"/>
              <w:jc w:val="center"/>
              <w:rPr>
                <w:rFonts w:ascii="仿宋_GB2312" w:hAnsi="仿宋" w:eastAsia="仿宋_GB2312" w:cs="Times New Roman"/>
                <w:kern w:val="0"/>
                <w:sz w:val="22"/>
              </w:rPr>
            </w:pPr>
            <w:r>
              <w:rPr>
                <w:rFonts w:ascii="仿宋_GB2312" w:hAnsi="仿宋" w:eastAsia="仿宋_GB2312" w:cs="Times New Roman"/>
                <w:kern w:val="0"/>
                <w:sz w:val="22"/>
              </w:rPr>
              <w:t>30</w:t>
            </w:r>
          </w:p>
        </w:tc>
        <w:tc>
          <w:tcPr>
            <w:tcW w:w="5953" w:type="dxa"/>
            <w:tcBorders>
              <w:tl2br w:val="nil"/>
              <w:tr2bl w:val="nil"/>
            </w:tcBorders>
            <w:vAlign w:val="center"/>
          </w:tcPr>
          <w:p>
            <w:pPr>
              <w:widowControl/>
              <w:shd w:val="clear" w:color="auto" w:fill="FFFFFF"/>
              <w:spacing w:line="280" w:lineRule="exact"/>
              <w:jc w:val="left"/>
              <w:rPr>
                <w:rFonts w:ascii="仿宋_GB2312" w:hAnsi="仿宋" w:eastAsia="仿宋_GB2312"/>
                <w:kern w:val="0"/>
                <w:sz w:val="22"/>
              </w:rPr>
            </w:pPr>
            <w:r>
              <w:rPr>
                <w:rFonts w:hint="eastAsia" w:ascii="仿宋_GB2312" w:hAnsi="仿宋" w:eastAsia="仿宋_GB2312"/>
                <w:kern w:val="0"/>
                <w:sz w:val="22"/>
              </w:rPr>
              <w:t>根据供应商的项目人员组成、时间进度安排、实施方案等，主要结合以下部分内容进行对比打分。</w:t>
            </w:r>
          </w:p>
          <w:p>
            <w:pPr>
              <w:widowControl/>
              <w:shd w:val="clear" w:color="auto" w:fill="FFFFFF"/>
              <w:spacing w:line="280" w:lineRule="exact"/>
              <w:jc w:val="left"/>
              <w:rPr>
                <w:rFonts w:ascii="仿宋_GB2312" w:hAnsi="仿宋" w:eastAsia="仿宋_GB2312"/>
                <w:color w:val="FF0000"/>
                <w:kern w:val="0"/>
                <w:sz w:val="22"/>
              </w:rPr>
            </w:pPr>
            <w:r>
              <w:rPr>
                <w:rFonts w:hint="eastAsia" w:ascii="仿宋_GB2312" w:hAnsi="仿宋" w:eastAsia="仿宋_GB2312"/>
                <w:color w:val="000000" w:themeColor="text1"/>
                <w:kern w:val="0"/>
                <w:sz w:val="22"/>
                <w14:textFill>
                  <w14:solidFill>
                    <w14:schemeClr w14:val="tx1"/>
                  </w14:solidFill>
                </w14:textFill>
              </w:rPr>
              <w:t>（一）</w:t>
            </w:r>
            <w:r>
              <w:rPr>
                <w:rFonts w:hint="eastAsia" w:ascii="仿宋_GB2312" w:hAnsi="仿宋" w:eastAsia="仿宋_GB2312"/>
                <w:kern w:val="0"/>
                <w:sz w:val="22"/>
              </w:rPr>
              <w:t>主要服务内容：基于大数据技术与人工智能技术，探索构建的专业化生物医药研发数据资源服务，旨在支撑南通生物医药各类创新主体进行产业研究及战略发展规划等活动。产品需包含药物、医疗器械、临床研究、产业投资生态、专利文献以及产业动态资讯等维度，以满足多元化需求：</w:t>
            </w:r>
            <w:r>
              <w:rPr>
                <w:rFonts w:hint="eastAsia" w:ascii="仿宋_GB2312" w:hAnsi="仿宋" w:eastAsia="仿宋_GB2312"/>
                <w:b/>
                <w:bCs/>
                <w:kern w:val="0"/>
                <w:sz w:val="22"/>
              </w:rPr>
              <w:t>一是</w:t>
            </w:r>
            <w:r>
              <w:rPr>
                <w:rFonts w:hint="eastAsia" w:ascii="仿宋_GB2312" w:hAnsi="仿宋" w:eastAsia="仿宋_GB2312"/>
                <w:kern w:val="0"/>
                <w:sz w:val="22"/>
              </w:rPr>
              <w:t>为企业主体提供靶点、适应症、治疗领域等分析，辅助发现热点研发领域，链接临床合作机构，助力规划产品管线、制定研发战略等；</w:t>
            </w:r>
            <w:r>
              <w:rPr>
                <w:rFonts w:hint="eastAsia" w:ascii="仿宋_GB2312" w:hAnsi="仿宋" w:eastAsia="仿宋_GB2312"/>
                <w:b/>
                <w:bCs/>
                <w:kern w:val="0"/>
                <w:sz w:val="22"/>
              </w:rPr>
              <w:t>二是</w:t>
            </w:r>
            <w:r>
              <w:rPr>
                <w:rFonts w:hint="eastAsia" w:ascii="仿宋_GB2312" w:hAnsi="仿宋" w:eastAsia="仿宋_GB2312"/>
                <w:kern w:val="0"/>
                <w:sz w:val="22"/>
              </w:rPr>
              <w:t>为产业研究人员提供产业生态研究支撑，主要提供赛道竞争与发展、产品价值、研发热点与技术水平等方面评估的数据资料；</w:t>
            </w:r>
            <w:r>
              <w:rPr>
                <w:rFonts w:hint="eastAsia" w:ascii="仿宋_GB2312" w:hAnsi="仿宋" w:eastAsia="仿宋_GB2312"/>
                <w:b/>
                <w:bCs/>
                <w:kern w:val="0"/>
                <w:sz w:val="22"/>
              </w:rPr>
              <w:t>三是</w:t>
            </w:r>
            <w:r>
              <w:rPr>
                <w:rFonts w:hint="eastAsia" w:ascii="仿宋_GB2312" w:hAnsi="仿宋" w:eastAsia="仿宋_GB2312"/>
                <w:kern w:val="0"/>
                <w:sz w:val="22"/>
              </w:rPr>
              <w:t>为园区产业集聚研究服务支持，提供国内外园区发展对标研究、产业布局策略、产业政策研究、资源配置建议、入驻主体潜力评估等方面的资料。底座需包含不少于1万余家生物医药企业、2000余家投资机构数据等资源。</w:t>
            </w:r>
          </w:p>
          <w:p>
            <w:pPr>
              <w:widowControl/>
              <w:shd w:val="clear" w:color="auto" w:fill="FFFFFF"/>
              <w:spacing w:line="280" w:lineRule="exact"/>
              <w:jc w:val="left"/>
              <w:rPr>
                <w:rFonts w:ascii="仿宋_GB2312" w:hAnsi="仿宋" w:eastAsia="仿宋_GB2312"/>
                <w:color w:val="000000" w:themeColor="text1"/>
                <w:kern w:val="0"/>
                <w:sz w:val="22"/>
                <w14:textFill>
                  <w14:solidFill>
                    <w14:schemeClr w14:val="tx1"/>
                  </w14:solidFill>
                </w14:textFill>
              </w:rPr>
            </w:pPr>
            <w:r>
              <w:rPr>
                <w:rFonts w:hint="eastAsia" w:ascii="仿宋_GB2312" w:hAnsi="仿宋" w:eastAsia="仿宋_GB2312"/>
                <w:color w:val="000000" w:themeColor="text1"/>
                <w:kern w:val="0"/>
                <w:sz w:val="22"/>
                <w14:textFill>
                  <w14:solidFill>
                    <w14:schemeClr w14:val="tx1"/>
                  </w14:solidFill>
                </w14:textFill>
              </w:rPr>
              <w:t>（二）辅助服务内容：根据需求，视情提供产业培训、项目研判等服务。</w:t>
            </w:r>
            <w:r>
              <w:rPr>
                <w:rFonts w:hint="eastAsia" w:ascii="仿宋_GB2312" w:hAnsi="仿宋" w:eastAsia="仿宋_GB2312"/>
                <w:b/>
                <w:bCs/>
                <w:color w:val="000000" w:themeColor="text1"/>
                <w:kern w:val="0"/>
                <w:sz w:val="22"/>
                <w14:textFill>
                  <w14:solidFill>
                    <w14:schemeClr w14:val="tx1"/>
                  </w14:solidFill>
                </w14:textFill>
              </w:rPr>
              <w:t>一是</w:t>
            </w:r>
            <w:r>
              <w:rPr>
                <w:rFonts w:hint="eastAsia" w:ascii="仿宋_GB2312" w:hAnsi="仿宋" w:eastAsia="仿宋_GB2312"/>
                <w:color w:val="000000" w:themeColor="text1"/>
                <w:kern w:val="0"/>
                <w:sz w:val="22"/>
                <w14:textFill>
                  <w14:solidFill>
                    <w14:schemeClr w14:val="tx1"/>
                  </w14:solidFill>
                </w14:textFill>
              </w:rPr>
              <w:t>支撑产业相关培训，根据产业专家信息，协助邀请行业专家为园区开展生物医药创新资源相关培训，内容结合南通市相关企业需求确定，可包括产业发展趋势、行业风口、技术热点、政策解读等，可采用线下、线上形式；</w:t>
            </w:r>
            <w:r>
              <w:rPr>
                <w:rFonts w:hint="eastAsia" w:ascii="仿宋_GB2312" w:hAnsi="仿宋" w:eastAsia="仿宋_GB2312"/>
                <w:b/>
                <w:bCs/>
                <w:color w:val="000000" w:themeColor="text1"/>
                <w:kern w:val="0"/>
                <w:sz w:val="22"/>
                <w14:textFill>
                  <w14:solidFill>
                    <w14:schemeClr w14:val="tx1"/>
                  </w14:solidFill>
                </w14:textFill>
              </w:rPr>
              <w:t>二是</w:t>
            </w:r>
            <w:r>
              <w:rPr>
                <w:rFonts w:hint="eastAsia" w:ascii="仿宋_GB2312" w:hAnsi="仿宋" w:eastAsia="仿宋_GB2312"/>
                <w:color w:val="000000" w:themeColor="text1"/>
                <w:kern w:val="0"/>
                <w:sz w:val="22"/>
                <w14:textFill>
                  <w14:solidFill>
                    <w14:schemeClr w14:val="tx1"/>
                  </w14:solidFill>
                </w14:textFill>
              </w:rPr>
              <w:t>辅助研判项目科技属性，配合开展项目科技属性评估，评估内容包括技术先进性、人才创新水平等。</w:t>
            </w:r>
          </w:p>
          <w:p>
            <w:pPr>
              <w:widowControl/>
              <w:shd w:val="clear" w:color="auto" w:fill="FFFFFF"/>
              <w:spacing w:line="280" w:lineRule="exact"/>
              <w:jc w:val="left"/>
              <w:rPr>
                <w:rFonts w:ascii="仿宋_GB2312" w:hAnsi="仿宋" w:eastAsia="仿宋_GB2312"/>
                <w:kern w:val="0"/>
                <w:sz w:val="22"/>
              </w:rPr>
            </w:pPr>
            <w:r>
              <w:rPr>
                <w:rFonts w:hint="eastAsia" w:ascii="仿宋_GB2312" w:hAnsi="仿宋" w:eastAsia="仿宋_GB2312"/>
                <w:color w:val="000000" w:themeColor="text1"/>
                <w:kern w:val="0"/>
                <w:sz w:val="22"/>
                <w14:textFill>
                  <w14:solidFill>
                    <w14:schemeClr w14:val="tx1"/>
                  </w14:solidFill>
                </w14:textFill>
              </w:rPr>
              <w:t>注：以上内容的完整性、全面性、合理性等强，与采购需求契合度高的得18-25分；完整性、全面性、合理性等较强，与采购需求契合度较高的得9-17分；内容不完整，不全面，合理度一般，契合度一般的得1-8分；不提供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vAlign w:val="center"/>
          </w:tcPr>
          <w:p>
            <w:pPr>
              <w:widowControl/>
              <w:shd w:val="clear" w:color="auto" w:fill="FFFFFF"/>
              <w:spacing w:line="280" w:lineRule="exact"/>
              <w:ind w:firstLine="220" w:firstLineChars="100"/>
              <w:jc w:val="left"/>
              <w:rPr>
                <w:rFonts w:ascii="仿宋_GB2312" w:hAnsi="仿宋" w:eastAsia="仿宋_GB2312" w:cs="仿宋"/>
                <w:sz w:val="22"/>
              </w:rPr>
            </w:pPr>
            <w:r>
              <w:rPr>
                <w:rFonts w:hint="eastAsia" w:ascii="仿宋_GB2312" w:hAnsi="仿宋" w:eastAsia="仿宋_GB2312" w:cs="仿宋"/>
                <w:sz w:val="22"/>
              </w:rPr>
              <w:t>3</w:t>
            </w:r>
          </w:p>
        </w:tc>
        <w:tc>
          <w:tcPr>
            <w:tcW w:w="1701" w:type="dxa"/>
            <w:tcBorders>
              <w:tl2br w:val="nil"/>
              <w:tr2bl w:val="nil"/>
            </w:tcBorders>
            <w:vAlign w:val="center"/>
          </w:tcPr>
          <w:p>
            <w:pPr>
              <w:widowControl/>
              <w:shd w:val="clear" w:color="auto" w:fill="FFFFFF"/>
              <w:spacing w:line="280" w:lineRule="exact"/>
              <w:jc w:val="center"/>
              <w:rPr>
                <w:rFonts w:ascii="仿宋_GB2312" w:hAnsi="仿宋" w:eastAsia="仿宋_GB2312" w:cs="Times New Roman"/>
                <w:kern w:val="0"/>
                <w:sz w:val="22"/>
              </w:rPr>
            </w:pPr>
            <w:r>
              <w:rPr>
                <w:rFonts w:hint="eastAsia" w:ascii="仿宋_GB2312" w:hAnsi="仿宋" w:eastAsia="仿宋_GB2312"/>
                <w:kern w:val="0"/>
                <w:sz w:val="22"/>
              </w:rPr>
              <w:t>典型服务案例</w:t>
            </w:r>
          </w:p>
        </w:tc>
        <w:tc>
          <w:tcPr>
            <w:tcW w:w="709" w:type="dxa"/>
            <w:tcBorders>
              <w:tl2br w:val="nil"/>
              <w:tr2bl w:val="nil"/>
            </w:tcBorders>
            <w:vAlign w:val="center"/>
          </w:tcPr>
          <w:p>
            <w:pPr>
              <w:widowControl/>
              <w:shd w:val="clear" w:color="auto" w:fill="FFFFFF"/>
              <w:spacing w:line="280" w:lineRule="exact"/>
              <w:jc w:val="center"/>
              <w:rPr>
                <w:rFonts w:ascii="仿宋_GB2312" w:hAnsi="仿宋" w:eastAsia="仿宋_GB2312" w:cs="Times New Roman"/>
                <w:kern w:val="0"/>
                <w:sz w:val="22"/>
              </w:rPr>
            </w:pPr>
            <w:r>
              <w:rPr>
                <w:rFonts w:hint="eastAsia" w:ascii="仿宋_GB2312" w:hAnsi="仿宋" w:eastAsia="仿宋_GB2312" w:cs="Times New Roman"/>
                <w:kern w:val="0"/>
                <w:sz w:val="22"/>
              </w:rPr>
              <w:t>30</w:t>
            </w:r>
          </w:p>
        </w:tc>
        <w:tc>
          <w:tcPr>
            <w:tcW w:w="5953" w:type="dxa"/>
            <w:tcBorders>
              <w:tl2br w:val="nil"/>
              <w:tr2bl w:val="nil"/>
            </w:tcBorders>
            <w:vAlign w:val="center"/>
          </w:tcPr>
          <w:p>
            <w:pPr>
              <w:widowControl/>
              <w:shd w:val="clear" w:color="auto" w:fill="FFFFFF"/>
              <w:spacing w:line="280" w:lineRule="exact"/>
              <w:jc w:val="left"/>
              <w:rPr>
                <w:rFonts w:ascii="仿宋_GB2312" w:hAnsi="仿宋" w:eastAsia="仿宋_GB2312"/>
                <w:kern w:val="0"/>
                <w:sz w:val="22"/>
              </w:rPr>
            </w:pPr>
            <w:r>
              <w:rPr>
                <w:rFonts w:hint="eastAsia" w:ascii="仿宋_GB2312" w:hAnsi="仿宋" w:eastAsia="仿宋_GB2312"/>
                <w:kern w:val="0"/>
                <w:sz w:val="22"/>
              </w:rPr>
              <w:t>供应商具有设区市及以上产业相关智库服务的成功经验；面向政府决策具备区域创新研究、政策研究以及产业技术研究等智库研究能力及成功服务经验；每提供一个案例得5分，最高不超过30分。</w:t>
            </w:r>
          </w:p>
          <w:p>
            <w:pPr>
              <w:widowControl/>
              <w:shd w:val="clear" w:color="auto" w:fill="FFFFFF"/>
              <w:spacing w:line="280" w:lineRule="exact"/>
              <w:jc w:val="left"/>
              <w:rPr>
                <w:rFonts w:ascii="仿宋_GB2312" w:hAnsi="仿宋" w:eastAsia="仿宋_GB2312"/>
                <w:kern w:val="0"/>
                <w:sz w:val="22"/>
              </w:rPr>
            </w:pPr>
            <w:r>
              <w:rPr>
                <w:rFonts w:hint="eastAsia" w:ascii="仿宋_GB2312" w:hAnsi="仿宋" w:eastAsia="仿宋_GB2312"/>
                <w:kern w:val="0"/>
                <w:sz w:val="22"/>
              </w:rPr>
              <w:t>注：须提供相关证明材料复印件并加盖公章。</w:t>
            </w:r>
          </w:p>
        </w:tc>
      </w:tr>
    </w:tbl>
    <w:p>
      <w:pPr>
        <w:widowControl/>
        <w:shd w:val="clear" w:color="auto" w:fill="FFFFFF"/>
        <w:spacing w:line="600" w:lineRule="exact"/>
        <w:ind w:firstLine="562" w:firstLineChars="200"/>
        <w:jc w:val="left"/>
        <w:rPr>
          <w:rFonts w:ascii="仿宋_GB2312" w:hAnsi="仿宋" w:eastAsia="仿宋_GB2312" w:cs="仿宋"/>
          <w:b/>
          <w:sz w:val="28"/>
          <w:szCs w:val="28"/>
        </w:rPr>
      </w:pPr>
      <w:r>
        <w:rPr>
          <w:rFonts w:hint="eastAsia" w:ascii="仿宋_GB2312" w:hAnsi="仿宋" w:eastAsia="仿宋_GB2312" w:cs="仿宋"/>
          <w:b/>
          <w:sz w:val="28"/>
          <w:szCs w:val="28"/>
        </w:rPr>
        <w:t>备注：提供相关证明材料复印件并加盖供应商公章，不提供不得分。上述涉及可在政府或行业协会官网查询的供应商或人员资质资格等相关证书、以及相关证明材料，仅需提供复印件（应清晰可辨）并加盖公章，非必须提供原件。评委评审时经三分之二及以上评委认为复印件存疑时，可要求供应商提供查询网址或原件核对，无法核验时该项不得分，供应商自行承担由此产生的得分损失。</w:t>
      </w:r>
    </w:p>
    <w:p>
      <w:pPr>
        <w:widowControl/>
        <w:shd w:val="clear" w:color="auto" w:fill="FFFFFF"/>
        <w:spacing w:line="600" w:lineRule="exact"/>
        <w:ind w:firstLine="281" w:firstLineChars="100"/>
        <w:jc w:val="left"/>
        <w:rPr>
          <w:rFonts w:ascii="仿宋_GB2312" w:hAnsi="仿宋" w:eastAsia="仿宋_GB2312" w:cs="仿宋"/>
          <w:b/>
          <w:sz w:val="28"/>
          <w:szCs w:val="28"/>
        </w:rPr>
      </w:pPr>
      <w:r>
        <w:rPr>
          <w:rFonts w:hint="eastAsia" w:ascii="仿宋_GB2312" w:hAnsi="仿宋" w:eastAsia="仿宋_GB2312" w:cs="仿宋"/>
          <w:b/>
          <w:sz w:val="28"/>
          <w:szCs w:val="28"/>
        </w:rPr>
        <w:t>（二）价格分：20分</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综合评分法中的价格分统一采用</w:t>
      </w:r>
      <w:r>
        <w:rPr>
          <w:rFonts w:hint="eastAsia" w:ascii="仿宋_GB2312" w:hAnsi="仿宋" w:eastAsia="仿宋_GB2312" w:cs="仿宋"/>
          <w:b/>
          <w:sz w:val="28"/>
          <w:szCs w:val="28"/>
        </w:rPr>
        <w:t>低价优先法</w:t>
      </w:r>
      <w:r>
        <w:rPr>
          <w:rFonts w:hint="eastAsia" w:ascii="仿宋_GB2312" w:hAnsi="仿宋" w:eastAsia="仿宋_GB2312" w:cs="仿宋"/>
          <w:sz w:val="28"/>
          <w:szCs w:val="28"/>
        </w:rPr>
        <w:t>计算，即满足磋商文件要求且最后报价最低的供应商的价格为磋商基准价，其价格分为满分。其他供应商的价格分统一按照下列公式计算：</w:t>
      </w:r>
    </w:p>
    <w:p>
      <w:pPr>
        <w:widowControl/>
        <w:shd w:val="clear" w:color="auto" w:fill="FFFFFF"/>
        <w:spacing w:line="600" w:lineRule="exact"/>
        <w:ind w:firstLine="562" w:firstLineChars="200"/>
        <w:jc w:val="left"/>
        <w:rPr>
          <w:rFonts w:ascii="仿宋_GB2312" w:hAnsi="仿宋" w:eastAsia="仿宋_GB2312" w:cs="仿宋"/>
          <w:b/>
          <w:sz w:val="28"/>
          <w:szCs w:val="28"/>
        </w:rPr>
      </w:pPr>
      <w:r>
        <w:rPr>
          <w:rFonts w:hint="eastAsia" w:ascii="仿宋_GB2312" w:hAnsi="仿宋" w:eastAsia="仿宋_GB2312" w:cs="仿宋"/>
          <w:b/>
          <w:sz w:val="28"/>
          <w:szCs w:val="28"/>
        </w:rPr>
        <w:t>磋商报价得分=（磋商基准价/最后磋商报价）×价格权值×100</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项目评审过程中，不得去掉最后报价中的最高报价和最低报价。</w:t>
      </w:r>
    </w:p>
    <w:p>
      <w:pPr>
        <w:widowControl/>
        <w:shd w:val="clear" w:color="auto" w:fill="FFFFFF"/>
        <w:spacing w:line="600" w:lineRule="exact"/>
        <w:ind w:firstLine="562" w:firstLineChars="200"/>
        <w:jc w:val="left"/>
        <w:rPr>
          <w:rFonts w:ascii="仿宋_GB2312" w:hAnsi="仿宋" w:eastAsia="仿宋_GB2312" w:cs="仿宋"/>
          <w:b/>
          <w:sz w:val="28"/>
          <w:szCs w:val="28"/>
        </w:rPr>
      </w:pPr>
      <w:r>
        <w:rPr>
          <w:rFonts w:hint="eastAsia" w:ascii="仿宋_GB2312" w:hAnsi="仿宋" w:eastAsia="仿宋_GB2312" w:cs="仿宋"/>
          <w:b/>
          <w:sz w:val="28"/>
          <w:szCs w:val="2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widowControl/>
        <w:shd w:val="clear" w:color="auto" w:fill="FFFFFF"/>
        <w:spacing w:line="600" w:lineRule="exact"/>
        <w:ind w:firstLine="560" w:firstLineChars="200"/>
        <w:jc w:val="left"/>
        <w:rPr>
          <w:rFonts w:ascii="仿宋" w:hAnsi="仿宋" w:eastAsia="仿宋" w:cs="仿宋"/>
          <w:b/>
          <w:sz w:val="28"/>
          <w:szCs w:val="28"/>
        </w:rPr>
      </w:pPr>
      <w:r>
        <w:rPr>
          <w:rFonts w:hint="eastAsia" w:ascii="黑体" w:hAnsi="黑体" w:eastAsia="黑体" w:cs="仿宋"/>
          <w:bCs/>
          <w:sz w:val="28"/>
          <w:szCs w:val="28"/>
        </w:rPr>
        <w:t>六、政府采购政策功能落实</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1.小微型企业价格扣除</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①本项目对小型和微型企业产品给予6%的扣除价格，用扣除后的价格参与评审。</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②供应商需按照采购文件的要求提供相应的《小型、微型企业声明函》。</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③企业标准请参照《关于印发中小企业划型标准规定的通知》（工信部联企业[2011]300号）文件规定自行填写。</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2.残疾人福利单位价格扣除</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①本项目对残疾人福利性单位视同小型、微型企业，给予6%的价格扣除，用扣除后的价格参与评审。</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②残疾人福利单位需按照采购文件的要求提供《残疾人福利性单位声明函》。</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③残疾人福利单位标准请参照《关于促进残疾人就业政府采购政策的通知》（财库〔2017〕141号）。</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3.监狱和戒毒企业价格扣除</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①本项目对监狱和戒毒企业（简称监狱企业）视同小型、微型企业，给予6%的价格扣除，用扣除后的价格参与评审。</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②监狱企业参加政府采购活动时，需提供由省级以上监狱管理局、戒毒管理局（含新疆生产建设兵团）出具的属于监狱企业的证明文件。供应商如不提供上述证明文件，价格将不做相应扣除。</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③监狱企业标准请参照《关于政府采购支持监狱企业发展有关问题的通知》（财库[2014]68号）。</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4.残疾人福利单位、监狱企业属于小型、微型企业的，不重复享受政策。</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6.联合体各方均为小型、微型企业（残疾人福利单位、监狱企业）的，联合体享受6%价格扣除，用扣除后的价格参与评审。</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7.根据《江苏省政府采购信用管理暂行办法》的规定，对有失信行为的供应商将根据信用评价结果按规定予以扣分或价格加成。</w:t>
      </w:r>
    </w:p>
    <w:p>
      <w:pPr>
        <w:widowControl/>
        <w:shd w:val="clear" w:color="auto" w:fill="FFFFFF"/>
        <w:spacing w:line="600" w:lineRule="exact"/>
        <w:ind w:firstLine="560" w:firstLineChars="200"/>
        <w:jc w:val="left"/>
        <w:rPr>
          <w:rFonts w:ascii="黑体" w:hAnsi="黑体" w:eastAsia="黑体" w:cs="仿宋"/>
          <w:b/>
          <w:sz w:val="28"/>
          <w:szCs w:val="28"/>
        </w:rPr>
      </w:pPr>
      <w:r>
        <w:rPr>
          <w:rFonts w:hint="eastAsia" w:ascii="黑体" w:hAnsi="黑体" w:eastAsia="黑体" w:cs="仿宋"/>
          <w:bCs/>
          <w:sz w:val="28"/>
          <w:szCs w:val="28"/>
        </w:rPr>
        <w:t>七、变更为其他方式采购的情形</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提交响应文件截止时间时参加磋商的供应商不足3家的，及磋商中出现符合专业条件的供应商或对磋商文件作实质响应的供应商不足3家（规定可以2家的情形除外），除采购任务取消外，采购人报告市财政部门或上级主管部门，视情采取其他方式采购。磋商文件中对供应商资质、技术等要求，将作为其他方式采购的基本要求和依据。原已经参加磋商并符合要求的供应商，根据自愿原则，参加其他方式采购。</w:t>
      </w:r>
    </w:p>
    <w:p>
      <w:pPr>
        <w:widowControl/>
        <w:shd w:val="clear" w:color="auto" w:fill="FFFFFF"/>
        <w:spacing w:line="600" w:lineRule="exact"/>
        <w:ind w:firstLine="560" w:firstLineChars="200"/>
        <w:jc w:val="left"/>
        <w:rPr>
          <w:rFonts w:ascii="黑体" w:hAnsi="黑体" w:eastAsia="黑体" w:cs="仿宋"/>
          <w:bCs/>
          <w:sz w:val="28"/>
          <w:szCs w:val="28"/>
        </w:rPr>
      </w:pPr>
      <w:r>
        <w:rPr>
          <w:rFonts w:hint="eastAsia" w:ascii="黑体" w:hAnsi="黑体" w:eastAsia="黑体" w:cs="仿宋"/>
          <w:bCs/>
          <w:sz w:val="28"/>
          <w:szCs w:val="28"/>
        </w:rPr>
        <w:t>八、出现下列情形之一的，竞争性磋商采购活动终止，发布项目终止公告并说明原因，重新开展采购活动：</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（一）因情况变化，不再符合规定的竞争性磋商采购方式适用情形的；</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（二）出现影响采购公正的违法、违规行为的；</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（三）在采购过程中符合要求的供应商或者报价未超过采购预算的供应商不足3家的（市场竞争不充分的科研项目，以及需要扶持的科技成果转化项目除外）。</w:t>
      </w:r>
    </w:p>
    <w:p>
      <w:pPr>
        <w:widowControl/>
        <w:shd w:val="clear" w:color="auto" w:fill="FFFFFF"/>
        <w:spacing w:line="600" w:lineRule="exact"/>
        <w:ind w:firstLine="560" w:firstLineChars="200"/>
        <w:jc w:val="left"/>
        <w:rPr>
          <w:rFonts w:ascii="黑体" w:hAnsi="黑体" w:eastAsia="黑体" w:cs="仿宋"/>
          <w:bCs/>
          <w:sz w:val="28"/>
          <w:szCs w:val="28"/>
        </w:rPr>
      </w:pPr>
      <w:r>
        <w:rPr>
          <w:rFonts w:hint="eastAsia" w:ascii="黑体" w:hAnsi="黑体" w:eastAsia="黑体" w:cs="仿宋"/>
          <w:bCs/>
          <w:sz w:val="28"/>
          <w:szCs w:val="28"/>
        </w:rPr>
        <w:t>九、成交通知</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自确定成交供应商之日起2个工作日内，在指定媒体上公告成交结果，公告期限为1个工作日。《成交通知书》一经发出，采购人改变成交结果，或者成交供应商放弃成交的，各自承担相应的法律责任。《成交通知书》是采购合同的组成部分。</w:t>
      </w:r>
      <w:r>
        <w:rPr>
          <w:rFonts w:hint="eastAsia" w:ascii="仿宋_GB2312" w:hAnsi="仿宋" w:eastAsia="仿宋_GB2312" w:cs="仿宋"/>
          <w:sz w:val="28"/>
          <w:szCs w:val="28"/>
        </w:rPr>
        <w:br w:type="page"/>
      </w:r>
    </w:p>
    <w:p>
      <w:pPr>
        <w:pStyle w:val="2"/>
        <w:spacing w:before="0" w:after="0" w:line="600" w:lineRule="exact"/>
        <w:jc w:val="center"/>
        <w:rPr>
          <w:rFonts w:ascii="方正大标宋简体" w:hAnsi="仿宋" w:eastAsia="方正大标宋简体"/>
          <w:b w:val="0"/>
          <w:bCs w:val="0"/>
        </w:rPr>
      </w:pPr>
      <w:r>
        <w:rPr>
          <w:rFonts w:hint="eastAsia" w:ascii="方正大标宋简体" w:hAnsi="仿宋" w:eastAsia="方正大标宋简体"/>
          <w:b w:val="0"/>
          <w:bCs w:val="0"/>
        </w:rPr>
        <w:t>第四部分 合同签订与验收付款</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一、成交供应商和采购人在接到《成交通知书》后30日内按照采购文件确定的事项签订政府采购合同。所签合同不得对采购文件作实质性修改。采购人不得向成交供应商提出不合理的要求作为签订合同的条件，不得与成交供应商私下订立背离采购文件实质性内容的协议。</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二、成交供应商出现违约情形，应当及时纠正或补偿；造成损失的，按合同约定追究违约责任；发现有假冒、伪劣、走私产品、商业贿赂等违法情形的，应由采购人移交市场监督、公安等行政执法部门依法查处。</w:t>
      </w:r>
    </w:p>
    <w:p>
      <w:pPr>
        <w:widowControl/>
        <w:shd w:val="clear" w:color="auto" w:fill="FFFFFF"/>
        <w:spacing w:line="600" w:lineRule="exact"/>
        <w:ind w:firstLine="562" w:firstLineChars="200"/>
        <w:jc w:val="left"/>
        <w:rPr>
          <w:rFonts w:ascii="仿宋_GB2312" w:hAnsi="仿宋" w:eastAsia="仿宋_GB2312" w:cs="仿宋"/>
          <w:b/>
          <w:sz w:val="28"/>
          <w:szCs w:val="28"/>
        </w:rPr>
      </w:pPr>
      <w:r>
        <w:rPr>
          <w:rFonts w:hint="eastAsia" w:ascii="仿宋_GB2312" w:hAnsi="仿宋" w:eastAsia="仿宋_GB2312" w:cs="仿宋"/>
          <w:b/>
          <w:sz w:val="28"/>
          <w:szCs w:val="28"/>
        </w:rPr>
        <w:t>三、不响应付款方式的，视同响应文件无效处理。</w:t>
      </w:r>
    </w:p>
    <w:p>
      <w:pPr>
        <w:widowControl/>
        <w:shd w:val="clear" w:color="auto" w:fill="FFFFFF"/>
        <w:spacing w:line="600" w:lineRule="exact"/>
        <w:ind w:firstLine="562" w:firstLineChars="200"/>
        <w:jc w:val="left"/>
        <w:rPr>
          <w:rFonts w:ascii="仿宋" w:hAnsi="仿宋" w:eastAsia="仿宋"/>
          <w:b/>
          <w:bCs/>
          <w:sz w:val="28"/>
          <w:szCs w:val="28"/>
        </w:rPr>
      </w:pPr>
      <w:r>
        <w:rPr>
          <w:rFonts w:hint="eastAsia" w:ascii="仿宋_GB2312" w:hAnsi="仿宋" w:eastAsia="仿宋_GB2312" w:cs="宋体"/>
          <w:b/>
          <w:bCs/>
          <w:sz w:val="28"/>
          <w:szCs w:val="28"/>
        </w:rPr>
        <w:t>付款方式：</w:t>
      </w:r>
      <w:r>
        <w:rPr>
          <w:rFonts w:hint="eastAsia" w:ascii="仿宋_GB2312" w:hAnsi="仿宋" w:eastAsia="仿宋_GB2312"/>
          <w:sz w:val="28"/>
          <w:szCs w:val="28"/>
        </w:rPr>
        <w:t>合同签订后十五天内一次性支付所有款项。</w:t>
      </w:r>
      <w:r>
        <w:rPr>
          <w:rFonts w:hint="eastAsia" w:ascii="仿宋_GB2312" w:hAnsi="仿宋" w:eastAsia="仿宋_GB2312"/>
          <w:b/>
          <w:bCs/>
          <w:sz w:val="28"/>
          <w:szCs w:val="28"/>
        </w:rPr>
        <w:br w:type="page"/>
      </w:r>
    </w:p>
    <w:p>
      <w:pPr>
        <w:pStyle w:val="2"/>
        <w:spacing w:before="0" w:after="0" w:line="600" w:lineRule="exact"/>
        <w:jc w:val="center"/>
        <w:rPr>
          <w:rFonts w:ascii="方正大标宋简体" w:hAnsi="仿宋" w:eastAsia="方正大标宋简体"/>
          <w:b w:val="0"/>
          <w:bCs w:val="0"/>
        </w:rPr>
      </w:pPr>
      <w:r>
        <w:rPr>
          <w:rFonts w:hint="eastAsia" w:ascii="方正大标宋简体" w:hAnsi="仿宋" w:eastAsia="方正大标宋简体"/>
          <w:b w:val="0"/>
          <w:bCs w:val="0"/>
        </w:rPr>
        <w:t>第五部分 质疑提出和处理</w:t>
      </w:r>
    </w:p>
    <w:p>
      <w:pPr>
        <w:widowControl/>
        <w:shd w:val="clear" w:color="auto" w:fill="FFFFFF"/>
        <w:spacing w:line="600" w:lineRule="exact"/>
        <w:ind w:firstLine="560" w:firstLineChars="200"/>
        <w:jc w:val="left"/>
        <w:rPr>
          <w:rFonts w:ascii="黑体" w:hAnsi="黑体" w:eastAsia="黑体" w:cs="仿宋"/>
          <w:sz w:val="28"/>
          <w:szCs w:val="28"/>
        </w:rPr>
      </w:pPr>
      <w:r>
        <w:rPr>
          <w:rFonts w:hint="eastAsia" w:ascii="黑体" w:hAnsi="黑体" w:eastAsia="黑体" w:cs="仿宋"/>
          <w:sz w:val="28"/>
          <w:szCs w:val="28"/>
        </w:rPr>
        <w:t>一、质疑的提出</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1.质疑人必须是直接参加本次磋商活动的当事人。</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2.领取磋商文件的供应商应根据第二部分“磋商须知”中第一点第1项的约定提出疑问；质疑提出的有效时限，见《中华人民共和国政府采购法实施条例》第五十三条。</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在磋商过程中，凡主持人或磋商小组明确提出须由供应商确认的事项，供应商当场无异议的，事后不得提出质疑。</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3.提出质疑时，必须坚持</w:t>
      </w:r>
      <w:r>
        <w:rPr>
          <w:rFonts w:hint="eastAsia" w:ascii="仿宋_GB2312" w:hAnsi="仿宋" w:eastAsia="仿宋_GB2312" w:cs="仿宋"/>
          <w:b/>
          <w:sz w:val="28"/>
          <w:szCs w:val="28"/>
        </w:rPr>
        <w:t>“谁主张，谁举证”、“实事求是”</w:t>
      </w:r>
      <w:r>
        <w:rPr>
          <w:rFonts w:hint="eastAsia" w:ascii="仿宋_GB2312" w:hAnsi="仿宋" w:eastAsia="仿宋_GB2312" w:cs="仿宋"/>
          <w:sz w:val="28"/>
          <w:szCs w:val="28"/>
        </w:rPr>
        <w:t>的原则，不能臆测。属于须由法定部门调查、侦查或先行作出相关认定的事项，质疑人应当依法申请具有法定职权的部门查清、认定，并将相关结果提供给采购人。</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4.对本次磋商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对不能提供相关佐证材料的、涉及商业秘密的、非书面形式的、非送达的、匿名的《质疑函》将不予受理。</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相关佐证材料要具备客观性、关联性、合法性，无法查实的（如宣传册、媒体报道、猜测、推理等）不能作为佐证材料。</w:t>
      </w:r>
    </w:p>
    <w:p>
      <w:pPr>
        <w:widowControl/>
        <w:shd w:val="clear" w:color="auto" w:fill="FFFFFF"/>
        <w:spacing w:line="600" w:lineRule="exact"/>
        <w:ind w:firstLine="562" w:firstLineChars="200"/>
        <w:jc w:val="left"/>
        <w:rPr>
          <w:rFonts w:ascii="仿宋_GB2312" w:hAnsi="仿宋" w:eastAsia="仿宋_GB2312" w:cs="仿宋"/>
          <w:b/>
          <w:sz w:val="28"/>
          <w:szCs w:val="28"/>
        </w:rPr>
      </w:pPr>
      <w:r>
        <w:rPr>
          <w:rFonts w:hint="eastAsia" w:ascii="仿宋_GB2312" w:hAnsi="仿宋" w:eastAsia="仿宋_GB2312" w:cs="仿宋"/>
          <w:b/>
          <w:sz w:val="28"/>
          <w:szCs w:val="28"/>
        </w:rPr>
        <w:t>采购人不负责搜集相关佐证材料等工作。</w:t>
      </w:r>
    </w:p>
    <w:p>
      <w:pPr>
        <w:widowControl/>
        <w:shd w:val="clear" w:color="auto" w:fill="FFFFFF"/>
        <w:spacing w:line="600" w:lineRule="exact"/>
        <w:ind w:firstLine="562" w:firstLineChars="200"/>
        <w:jc w:val="left"/>
        <w:rPr>
          <w:rFonts w:ascii="仿宋_GB2312" w:hAnsi="仿宋" w:eastAsia="仿宋_GB2312" w:cs="仿宋"/>
          <w:b/>
          <w:sz w:val="28"/>
          <w:szCs w:val="28"/>
        </w:rPr>
      </w:pPr>
      <w:r>
        <w:rPr>
          <w:rFonts w:hint="eastAsia" w:ascii="仿宋_GB2312" w:hAnsi="仿宋" w:eastAsia="仿宋_GB2312" w:cs="仿宋"/>
          <w:b/>
          <w:sz w:val="28"/>
          <w:szCs w:val="28"/>
        </w:rPr>
        <w:t>5.质疑人必须在法定质疑期内一次性提出针对本项目采购程序环节的质疑。采购人不接受有权拒绝第二次及以上质疑。</w:t>
      </w:r>
    </w:p>
    <w:p>
      <w:pPr>
        <w:widowControl/>
        <w:shd w:val="clear" w:color="auto" w:fill="FFFFFF"/>
        <w:spacing w:line="600" w:lineRule="exact"/>
        <w:ind w:firstLine="560" w:firstLineChars="200"/>
        <w:jc w:val="left"/>
        <w:rPr>
          <w:rFonts w:ascii="黑体" w:hAnsi="黑体" w:eastAsia="黑体" w:cs="仿宋"/>
          <w:sz w:val="28"/>
          <w:szCs w:val="28"/>
        </w:rPr>
      </w:pPr>
      <w:r>
        <w:rPr>
          <w:rFonts w:hint="eastAsia" w:ascii="黑体" w:hAnsi="黑体" w:eastAsia="黑体" w:cs="仿宋"/>
          <w:sz w:val="28"/>
          <w:szCs w:val="28"/>
        </w:rPr>
        <w:t>二、《质疑函》的受理和回复</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1.《质疑函》须由质疑人的法定代表人签字并加盖公章后，由法定代表人或参加本次磋商授权人送达采购人。</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对符合提出质疑要求的，采购人签收并出具《质疑受理通知书》。在处理过程中，发现需要质疑人进一步补充相关佐证材料的，请质疑人在规定的时间内提供，质疑回复时间相应顺延。质疑人不能按时提供相关佐证材料的，视同放弃质疑。</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3.对不符合提出质疑要求的，出具《质疑退回通知书》并提出相关补充材料要求，质疑人未在规定的时间内提供补充佐证材料的，视同放弃质疑。</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4.采购人负责将质疑人提出的质疑相关材料提供给相关专家或磋商小组审核，并将审核意见回复质疑人。</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5.因质疑情况复杂，组织论证或审查时间较长的，采购人以书面形式通知质疑人，可适当延长质疑回复处理时间。</w:t>
      </w:r>
    </w:p>
    <w:p>
      <w:pPr>
        <w:widowControl/>
        <w:shd w:val="clear" w:color="auto" w:fill="FFFFFF"/>
        <w:spacing w:line="600" w:lineRule="exact"/>
        <w:ind w:firstLine="560" w:firstLineChars="200"/>
        <w:jc w:val="left"/>
        <w:rPr>
          <w:rFonts w:ascii="黑体" w:hAnsi="黑体" w:eastAsia="黑体" w:cs="仿宋"/>
          <w:sz w:val="28"/>
          <w:szCs w:val="28"/>
        </w:rPr>
      </w:pPr>
      <w:r>
        <w:rPr>
          <w:rFonts w:hint="eastAsia" w:ascii="黑体" w:hAnsi="黑体" w:eastAsia="黑体" w:cs="仿宋"/>
          <w:sz w:val="28"/>
          <w:szCs w:val="28"/>
        </w:rPr>
        <w:t>三、质疑处理</w:t>
      </w:r>
    </w:p>
    <w:p>
      <w:pPr>
        <w:widowControl/>
        <w:shd w:val="clear" w:color="auto" w:fill="FFFFFF"/>
        <w:spacing w:line="600" w:lineRule="exact"/>
        <w:ind w:firstLine="562" w:firstLineChars="200"/>
        <w:jc w:val="left"/>
        <w:rPr>
          <w:rFonts w:ascii="仿宋_GB2312" w:hAnsi="仿宋" w:eastAsia="仿宋_GB2312" w:cs="仿宋"/>
          <w:sz w:val="28"/>
          <w:szCs w:val="28"/>
        </w:rPr>
      </w:pPr>
      <w:r>
        <w:rPr>
          <w:rFonts w:hint="eastAsia" w:ascii="仿宋_GB2312" w:hAnsi="仿宋" w:eastAsia="仿宋_GB2312" w:cs="仿宋"/>
          <w:b/>
          <w:sz w:val="28"/>
          <w:szCs w:val="28"/>
        </w:rPr>
        <w:t>1.质疑成立的处理。</w:t>
      </w:r>
      <w:r>
        <w:rPr>
          <w:rFonts w:hint="eastAsia" w:ascii="仿宋_GB2312" w:hAnsi="仿宋" w:eastAsia="仿宋_GB2312" w:cs="仿宋"/>
          <w:sz w:val="28"/>
          <w:szCs w:val="28"/>
        </w:rPr>
        <w:t>采购人终止采购，并建议有关部门给相关当事人予以处理。</w:t>
      </w:r>
    </w:p>
    <w:p>
      <w:pPr>
        <w:widowControl/>
        <w:shd w:val="clear" w:color="auto" w:fill="FFFFFF"/>
        <w:spacing w:line="600" w:lineRule="exact"/>
        <w:ind w:firstLine="562" w:firstLineChars="200"/>
        <w:jc w:val="left"/>
        <w:rPr>
          <w:rFonts w:ascii="仿宋_GB2312" w:hAnsi="仿宋" w:eastAsia="仿宋_GB2312" w:cs="仿宋"/>
          <w:b/>
          <w:sz w:val="28"/>
          <w:szCs w:val="28"/>
        </w:rPr>
      </w:pPr>
      <w:r>
        <w:rPr>
          <w:rFonts w:hint="eastAsia" w:ascii="仿宋_GB2312" w:hAnsi="仿宋" w:eastAsia="仿宋_GB2312" w:cs="仿宋"/>
          <w:b/>
          <w:sz w:val="28"/>
          <w:szCs w:val="28"/>
        </w:rPr>
        <w:t>2.质疑不成立的处理。</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（1）质疑人书面《申请撤回质疑函》的，不作违约处理。</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（2）质疑人在规定的时间内不配合进行质疑调查处理的，按自动撤回《质疑函》处理。</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（3）质疑人不按《质疑函》格式就提出质疑的，作违约处理。采购人有权建议政府采购主管部门取消会员供应商资格三个月的违约处理；同时，视情列入不良供应商名单。</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4）质疑人虽提供了相关佐证材料，但不能证明其质疑成立的，采购人请质疑人补充相关佐证材料，仍不能证明其质疑成立的，作违约处理。采购人有权建议政府采购主管部门取消会员供应商资格六个月的违约处理；同时，列入不良供应商名单。</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（5）质疑人不能提供相关佐证材料的，采购人已指出，质疑人仍然坚持提出质疑的，作违约处理。采购人有权建议政府采购主管部门取消会员供应商资格一年的违约处理；同时，列入不良供应商名单。</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6）对明显有违事实的、经相关专家或磋商小组认定无依据的、经其他供应商举证无依据的质疑，作违约处理，采购人有权建议政府采购主管部门取消会员供应商资格一年的违约处理，列入不良供应商名单；同时，对其中每一项不成立的质疑给予质疑人1年内禁入由采购人组织的政府采购活动的违约处理，依次类推；视情在南通公共资源交易平台、省、国家级相关媒体予以披露。</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（7）质疑人承担使用虚假材料或恶意方式质疑的法律责任。</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（8）采购人有权根据违约情节轻重，限制质疑人参加采购人组织的政府采购活动。情节严重的，采购人将质疑人列入黑名单。</w:t>
      </w:r>
    </w:p>
    <w:p>
      <w:pPr>
        <w:widowControl/>
        <w:shd w:val="clear" w:color="auto" w:fill="FFFFFF"/>
        <w:spacing w:line="600" w:lineRule="exact"/>
        <w:ind w:firstLine="562" w:firstLineChars="200"/>
        <w:jc w:val="left"/>
        <w:rPr>
          <w:rFonts w:ascii="仿宋_GB2312" w:hAnsi="仿宋" w:eastAsia="仿宋_GB2312" w:cs="仿宋"/>
          <w:sz w:val="28"/>
          <w:szCs w:val="28"/>
        </w:rPr>
      </w:pPr>
      <w:r>
        <w:rPr>
          <w:rFonts w:hint="eastAsia" w:ascii="仿宋_GB2312" w:hAnsi="仿宋" w:eastAsia="仿宋_GB2312" w:cs="仿宋"/>
          <w:b/>
          <w:sz w:val="28"/>
          <w:szCs w:val="28"/>
        </w:rPr>
        <w:t>四、无佐证材料的举报作违约处理。</w:t>
      </w:r>
      <w:r>
        <w:rPr>
          <w:rFonts w:hint="eastAsia" w:ascii="仿宋_GB2312" w:hAnsi="仿宋" w:eastAsia="仿宋_GB2312" w:cs="仿宋"/>
          <w:sz w:val="28"/>
          <w:szCs w:val="28"/>
        </w:rPr>
        <w:t>供应商不得进行不提供相关佐证材料（含无法查实的如宣传册、媒体报道、猜测、推理等）向有关部门的举报，否则作违约处理。采购人有权建议政府采购主管部门取消其相应的会员供应商资格，同时对其在1至3年内禁入由采购人组织的政府采购活动的违约处理。</w:t>
      </w:r>
    </w:p>
    <w:p>
      <w:pPr>
        <w:widowControl/>
        <w:shd w:val="clear" w:color="auto" w:fill="FFFFFF"/>
        <w:spacing w:line="600" w:lineRule="exact"/>
        <w:ind w:firstLine="562" w:firstLineChars="200"/>
        <w:jc w:val="left"/>
        <w:rPr>
          <w:rFonts w:ascii="仿宋_GB2312" w:hAnsi="仿宋" w:eastAsia="仿宋_GB2312" w:cs="仿宋"/>
          <w:sz w:val="28"/>
          <w:szCs w:val="28"/>
        </w:rPr>
      </w:pPr>
      <w:r>
        <w:rPr>
          <w:rFonts w:hint="eastAsia" w:ascii="仿宋_GB2312" w:hAnsi="仿宋" w:eastAsia="仿宋_GB2312" w:cs="仿宋"/>
          <w:b/>
          <w:sz w:val="28"/>
          <w:szCs w:val="28"/>
        </w:rPr>
        <w:t>五、投诉不成立的作违约处理。</w:t>
      </w:r>
      <w:r>
        <w:rPr>
          <w:rFonts w:hint="eastAsia" w:ascii="仿宋_GB2312" w:hAnsi="仿宋" w:eastAsia="仿宋_GB2312" w:cs="仿宋"/>
          <w:sz w:val="28"/>
          <w:szCs w:val="28"/>
        </w:rPr>
        <w:t>供应商进行质疑后，采购人回复质疑不成立，供应商仍进行投诉的，并最终投诉不成立的，作违约处理。采购人有权建议政府采购主管部门取消其相应的会员供应商资格，同时对其在1至3年内禁入由采购人组织的政府采购活动的违约处理。</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六、《质疑函》、《质疑回复函》，质疑、举报、投诉不成立的等相关情况，视情在南通公共资源交易平台、省、国家级等相关媒体予以披露。并建议相关政府采购机构对该供应商同步实施1至3年内禁入。</w:t>
      </w:r>
    </w:p>
    <w:p>
      <w:pPr>
        <w:widowControl/>
        <w:jc w:val="left"/>
        <w:rPr>
          <w:rFonts w:ascii="仿宋_GB2312" w:hAnsi="仿宋" w:eastAsia="仿宋_GB2312"/>
          <w:sz w:val="28"/>
          <w:szCs w:val="28"/>
        </w:rPr>
      </w:pPr>
      <w:r>
        <w:rPr>
          <w:rFonts w:hint="eastAsia" w:ascii="仿宋_GB2312" w:hAnsi="仿宋" w:eastAsia="仿宋_GB2312"/>
          <w:sz w:val="28"/>
          <w:szCs w:val="28"/>
        </w:rPr>
        <w:br w:type="page"/>
      </w:r>
    </w:p>
    <w:p>
      <w:pPr>
        <w:pStyle w:val="2"/>
        <w:spacing w:before="0" w:after="0" w:line="600" w:lineRule="exact"/>
        <w:jc w:val="center"/>
        <w:rPr>
          <w:rFonts w:ascii="方正大标宋简体" w:hAnsi="仿宋" w:eastAsia="方正大标宋简体"/>
          <w:b w:val="0"/>
          <w:bCs w:val="0"/>
        </w:rPr>
      </w:pPr>
      <w:r>
        <w:rPr>
          <w:rFonts w:hint="eastAsia" w:ascii="方正大标宋简体" w:hAnsi="仿宋" w:eastAsia="方正大标宋简体"/>
          <w:b w:val="0"/>
          <w:bCs w:val="0"/>
        </w:rPr>
        <w:t>第六部分 响应文件组成</w:t>
      </w:r>
    </w:p>
    <w:p>
      <w:pPr>
        <w:widowControl/>
        <w:shd w:val="clear" w:color="auto" w:fill="FFFFFF"/>
        <w:spacing w:line="600" w:lineRule="exact"/>
        <w:ind w:firstLine="562" w:firstLineChars="200"/>
        <w:jc w:val="left"/>
        <w:rPr>
          <w:rFonts w:ascii="仿宋_GB2312" w:hAnsi="仿宋" w:eastAsia="仿宋_GB2312" w:cs="仿宋"/>
          <w:b/>
          <w:sz w:val="28"/>
          <w:szCs w:val="28"/>
        </w:rPr>
      </w:pPr>
      <w:r>
        <w:rPr>
          <w:rFonts w:hint="eastAsia" w:ascii="仿宋_GB2312" w:hAnsi="仿宋" w:eastAsia="仿宋_GB2312" w:cs="仿宋"/>
          <w:b/>
          <w:sz w:val="28"/>
          <w:szCs w:val="28"/>
        </w:rPr>
        <w:t>响应文件由资格审查证明材料、价格响应文件、商务技术响应文件三部分组成。</w:t>
      </w:r>
    </w:p>
    <w:p>
      <w:pPr>
        <w:widowControl/>
        <w:shd w:val="clear" w:color="auto" w:fill="FFFFFF"/>
        <w:spacing w:line="600" w:lineRule="exact"/>
        <w:ind w:firstLine="560" w:firstLineChars="200"/>
        <w:jc w:val="left"/>
        <w:rPr>
          <w:rFonts w:ascii="仿宋_GB2312" w:hAnsi="黑体" w:eastAsia="仿宋_GB2312" w:cs="仿宋"/>
          <w:sz w:val="28"/>
          <w:szCs w:val="28"/>
        </w:rPr>
      </w:pPr>
      <w:r>
        <w:rPr>
          <w:rFonts w:hint="eastAsia" w:ascii="黑体" w:hAnsi="黑体" w:eastAsia="黑体" w:cs="仿宋"/>
          <w:sz w:val="28"/>
          <w:szCs w:val="28"/>
        </w:rPr>
        <w:t>一、资格审查证明材料</w:t>
      </w:r>
      <w:r>
        <w:rPr>
          <w:rFonts w:hint="eastAsia" w:ascii="仿宋_GB2312" w:hAnsi="黑体" w:eastAsia="仿宋_GB2312" w:cs="仿宋"/>
          <w:sz w:val="28"/>
          <w:szCs w:val="28"/>
        </w:rPr>
        <w:t>（一正两副，单独密封并牢固装订）：</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1.关于资格的声明函；</w:t>
      </w:r>
      <w:r>
        <w:rPr>
          <w:rFonts w:ascii="仿宋_GB2312" w:hAnsi="仿宋" w:eastAsia="仿宋_GB2312" w:cs="仿宋"/>
          <w:sz w:val="28"/>
          <w:szCs w:val="28"/>
        </w:rPr>
        <w:t xml:space="preserve"> </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2.法定代表人身份证明书（提供复印件并加盖公章）；</w:t>
      </w:r>
      <w:r>
        <w:rPr>
          <w:rFonts w:ascii="仿宋_GB2312" w:hAnsi="仿宋" w:eastAsia="仿宋_GB2312" w:cs="仿宋"/>
          <w:sz w:val="28"/>
          <w:szCs w:val="28"/>
        </w:rPr>
        <w:t xml:space="preserve"> </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3.法定代表人授权委托书原件，磋商代表本人身份证复印件（原件随身备查）；</w:t>
      </w:r>
      <w:r>
        <w:rPr>
          <w:rFonts w:ascii="仿宋_GB2312" w:hAnsi="仿宋" w:eastAsia="仿宋_GB2312" w:cs="仿宋"/>
          <w:sz w:val="28"/>
          <w:szCs w:val="28"/>
        </w:rPr>
        <w:t xml:space="preserve"> </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4.请按竞争性磋商公告资格要求提供相应的佐证材料（提供复印件并加盖公章）；</w:t>
      </w:r>
      <w:r>
        <w:rPr>
          <w:rFonts w:hint="eastAsia" w:ascii="仿宋_GB2312" w:hAnsi="仿宋" w:eastAsia="仿宋_GB2312" w:cs="仿宋"/>
          <w:color w:val="FF0000"/>
          <w:sz w:val="28"/>
          <w:szCs w:val="28"/>
        </w:rPr>
        <w:t>【请注意政府采购法第二十二条第1款共5项要求；以及信用中国查询截图】</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5.其它需要提交的资格审查证明材料。</w:t>
      </w:r>
    </w:p>
    <w:p>
      <w:pPr>
        <w:widowControl/>
        <w:shd w:val="clear" w:color="auto" w:fill="FFFFFF"/>
        <w:spacing w:line="600" w:lineRule="exact"/>
        <w:ind w:firstLine="560" w:firstLineChars="200"/>
        <w:jc w:val="left"/>
        <w:rPr>
          <w:rFonts w:ascii="仿宋_GB2312" w:hAnsi="黑体" w:eastAsia="仿宋_GB2312" w:cs="仿宋"/>
          <w:sz w:val="28"/>
          <w:szCs w:val="28"/>
        </w:rPr>
      </w:pPr>
      <w:r>
        <w:rPr>
          <w:rFonts w:hint="eastAsia" w:ascii="黑体" w:hAnsi="黑体" w:eastAsia="黑体" w:cs="仿宋"/>
          <w:sz w:val="28"/>
          <w:szCs w:val="28"/>
        </w:rPr>
        <w:t>二、价格响应文件，</w:t>
      </w:r>
      <w:r>
        <w:rPr>
          <w:rFonts w:hint="eastAsia" w:ascii="仿宋_GB2312" w:hAnsi="黑体" w:eastAsia="仿宋_GB2312" w:cs="仿宋"/>
          <w:sz w:val="28"/>
          <w:szCs w:val="28"/>
        </w:rPr>
        <w:t>一式二份（单独密封并牢固装订），不得出现在商务技术响应文件部分：</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1.报价总表；</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2.报价明细表（格式自拟）。</w:t>
      </w:r>
    </w:p>
    <w:p>
      <w:pPr>
        <w:widowControl/>
        <w:shd w:val="clear" w:color="auto" w:fill="FFFFFF"/>
        <w:spacing w:line="600" w:lineRule="exact"/>
        <w:ind w:firstLine="560" w:firstLineChars="200"/>
        <w:jc w:val="left"/>
        <w:rPr>
          <w:rFonts w:ascii="仿宋_GB2312" w:hAnsi="黑体" w:eastAsia="仿宋_GB2312" w:cs="仿宋"/>
          <w:sz w:val="28"/>
          <w:szCs w:val="28"/>
        </w:rPr>
      </w:pPr>
      <w:r>
        <w:rPr>
          <w:rFonts w:hint="eastAsia" w:ascii="黑体" w:hAnsi="黑体" w:eastAsia="黑体" w:cs="仿宋"/>
          <w:sz w:val="28"/>
          <w:szCs w:val="28"/>
        </w:rPr>
        <w:t>三、商务技术响应文件</w:t>
      </w:r>
      <w:r>
        <w:rPr>
          <w:rFonts w:hint="eastAsia" w:ascii="仿宋_GB2312" w:hAnsi="黑体" w:eastAsia="仿宋_GB2312" w:cs="仿宋"/>
          <w:sz w:val="28"/>
          <w:szCs w:val="28"/>
        </w:rPr>
        <w:t>（不能出现报价；一正两副，单独密封并牢固装订）：</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1.磋商供应商情况一览表；</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2.商务部分正负偏离表；</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3.技术部分正负偏离表；</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填制正负偏离表，完全响应的，请以空白表列示。不完全响应的，必须在偏离表中列示；列示不全的，视同故意隐瞒。</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4.响应方案、货物（服务）清单。具有项目、数量、品牌、型号、配置性能等。</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5.为方便评委评审，请供应商按评审办法中所涉及的事项顺序进行编制，可以补充相关材料。</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6.评审办法中未涉及的事项，供应商认为需要提交的其他资料。</w:t>
      </w:r>
    </w:p>
    <w:p>
      <w:pPr>
        <w:widowControl/>
        <w:shd w:val="clear" w:color="auto" w:fill="FFFFFF"/>
        <w:spacing w:line="600" w:lineRule="exact"/>
        <w:ind w:firstLine="560" w:firstLineChars="200"/>
        <w:jc w:val="left"/>
        <w:rPr>
          <w:rFonts w:ascii="仿宋_GB2312" w:hAnsi="仿宋" w:eastAsia="仿宋_GB2312" w:cs="仿宋"/>
          <w:sz w:val="28"/>
          <w:szCs w:val="28"/>
        </w:rPr>
      </w:pPr>
    </w:p>
    <w:p>
      <w:pPr>
        <w:widowControl/>
        <w:jc w:val="left"/>
        <w:rPr>
          <w:rFonts w:ascii="仿宋" w:hAnsi="仿宋" w:eastAsia="仿宋"/>
          <w:sz w:val="28"/>
          <w:szCs w:val="28"/>
        </w:rPr>
      </w:pPr>
      <w:r>
        <w:rPr>
          <w:rFonts w:ascii="仿宋" w:hAnsi="仿宋" w:eastAsia="仿宋"/>
          <w:sz w:val="28"/>
          <w:szCs w:val="28"/>
        </w:rPr>
        <w:br w:type="page"/>
      </w:r>
    </w:p>
    <w:p>
      <w:pPr>
        <w:widowControl/>
        <w:shd w:val="clear" w:color="auto" w:fill="FFFFFF"/>
        <w:spacing w:line="600" w:lineRule="exact"/>
        <w:jc w:val="center"/>
        <w:rPr>
          <w:rFonts w:ascii="方正大标宋简体" w:hAnsi="仿宋" w:eastAsia="方正大标宋简体" w:cs="仿宋"/>
          <w:bCs/>
          <w:sz w:val="36"/>
          <w:szCs w:val="36"/>
        </w:rPr>
      </w:pPr>
      <w:bookmarkStart w:id="3" w:name="_Toc44750623"/>
      <w:r>
        <w:rPr>
          <w:rFonts w:hint="eastAsia" w:ascii="方正大标宋简体" w:hAnsi="仿宋" w:eastAsia="方正大标宋简体" w:cs="仿宋"/>
          <w:bCs/>
          <w:sz w:val="36"/>
          <w:szCs w:val="36"/>
        </w:rPr>
        <w:t>关于资格的声明函</w:t>
      </w:r>
      <w:bookmarkEnd w:id="3"/>
    </w:p>
    <w:p>
      <w:pPr>
        <w:widowControl/>
        <w:shd w:val="clear" w:color="auto" w:fill="FFFFFF"/>
        <w:spacing w:line="600" w:lineRule="exact"/>
        <w:jc w:val="left"/>
        <w:rPr>
          <w:rFonts w:ascii="仿宋_GB2312" w:hAnsi="仿宋" w:eastAsia="仿宋_GB2312" w:cs="仿宋"/>
          <w:sz w:val="28"/>
          <w:szCs w:val="28"/>
        </w:rPr>
      </w:pPr>
      <w:r>
        <w:rPr>
          <w:rFonts w:hint="eastAsia" w:ascii="仿宋_GB2312" w:hAnsi="仿宋" w:eastAsia="仿宋_GB2312" w:cs="仿宋"/>
          <w:sz w:val="28"/>
          <w:szCs w:val="28"/>
        </w:rPr>
        <w:t>南通市科技信息研究所：</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我单位认真对照磋商公告，符合贵方提出的资格要求，自愿报名参加响应，并保证提供的资料文件是准确的和真实的。提供虚假材料的愿意承担相应的法律责任。</w:t>
      </w:r>
    </w:p>
    <w:p>
      <w:pPr>
        <w:widowControl/>
        <w:shd w:val="clear" w:color="auto" w:fill="FFFFFF"/>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附：单位响应之前3年内有无受各级管理部门的处分或处罚（公司含其授权服务的子公司、分公司等），如果不主动填报而被事后发现的，将取消其响应资格，并按有关规定从重处理；没有受处罚的响应人，要填写“没有受到任何处罚”，此表不能空白。</w:t>
      </w: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118"/>
        <w:gridCol w:w="340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10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00" w:lineRule="exact"/>
              <w:jc w:val="center"/>
              <w:rPr>
                <w:rFonts w:ascii="黑体" w:hAnsi="黑体" w:eastAsia="黑体" w:cs="仿宋"/>
                <w:szCs w:val="21"/>
              </w:rPr>
            </w:pPr>
            <w:r>
              <w:rPr>
                <w:rFonts w:hint="eastAsia" w:ascii="黑体" w:hAnsi="黑体" w:eastAsia="黑体" w:cs="仿宋"/>
                <w:szCs w:val="21"/>
              </w:rPr>
              <w:t>时 间</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00" w:lineRule="exact"/>
              <w:jc w:val="center"/>
              <w:rPr>
                <w:rFonts w:ascii="黑体" w:hAnsi="黑体" w:eastAsia="黑体" w:cs="仿宋"/>
                <w:szCs w:val="21"/>
              </w:rPr>
            </w:pPr>
            <w:r>
              <w:rPr>
                <w:rFonts w:hint="eastAsia" w:ascii="黑体" w:hAnsi="黑体" w:eastAsia="黑体" w:cs="仿宋"/>
                <w:szCs w:val="21"/>
              </w:rPr>
              <w:t>受处理的原因</w:t>
            </w:r>
          </w:p>
          <w:p>
            <w:pPr>
              <w:widowControl/>
              <w:shd w:val="clear" w:color="auto" w:fill="FFFFFF"/>
              <w:spacing w:line="300" w:lineRule="exact"/>
              <w:jc w:val="center"/>
              <w:rPr>
                <w:rFonts w:ascii="黑体" w:hAnsi="黑体" w:eastAsia="黑体" w:cs="仿宋"/>
                <w:szCs w:val="21"/>
              </w:rPr>
            </w:pPr>
            <w:r>
              <w:rPr>
                <w:rFonts w:hint="eastAsia" w:ascii="黑体" w:hAnsi="黑体" w:eastAsia="黑体" w:cs="仿宋"/>
                <w:szCs w:val="21"/>
              </w:rPr>
              <w:t>（如在政府采购活动中受处理的，注明采购项目名称及处理原因）</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00" w:lineRule="exact"/>
              <w:jc w:val="center"/>
              <w:rPr>
                <w:rFonts w:ascii="黑体" w:hAnsi="黑体" w:eastAsia="黑体" w:cs="仿宋"/>
                <w:szCs w:val="21"/>
              </w:rPr>
            </w:pPr>
            <w:r>
              <w:rPr>
                <w:rFonts w:hint="eastAsia" w:ascii="黑体" w:hAnsi="黑体" w:eastAsia="黑体" w:cs="仿宋"/>
                <w:szCs w:val="21"/>
              </w:rPr>
              <w:t>处理的内容</w:t>
            </w:r>
          </w:p>
          <w:p>
            <w:pPr>
              <w:widowControl/>
              <w:shd w:val="clear" w:color="auto" w:fill="FFFFFF"/>
              <w:spacing w:line="300" w:lineRule="exact"/>
              <w:jc w:val="center"/>
              <w:rPr>
                <w:rFonts w:ascii="黑体" w:hAnsi="黑体" w:eastAsia="黑体" w:cs="仿宋"/>
                <w:szCs w:val="21"/>
              </w:rPr>
            </w:pPr>
            <w:r>
              <w:rPr>
                <w:rFonts w:hint="eastAsia" w:ascii="黑体" w:hAnsi="黑体" w:eastAsia="黑体" w:cs="仿宋"/>
                <w:szCs w:val="21"/>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00" w:lineRule="exact"/>
              <w:jc w:val="center"/>
              <w:rPr>
                <w:rFonts w:ascii="黑体" w:hAnsi="黑体" w:eastAsia="黑体" w:cs="仿宋"/>
                <w:szCs w:val="21"/>
              </w:rPr>
            </w:pPr>
            <w:r>
              <w:rPr>
                <w:rFonts w:hint="eastAsia" w:ascii="黑体" w:hAnsi="黑体" w:eastAsia="黑体" w:cs="仿宋"/>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101" w:type="dxa"/>
            <w:tcBorders>
              <w:top w:val="single" w:color="auto" w:sz="4" w:space="0"/>
              <w:left w:val="single" w:color="auto" w:sz="4" w:space="0"/>
              <w:bottom w:val="single" w:color="auto" w:sz="4" w:space="0"/>
              <w:right w:val="single" w:color="auto" w:sz="4" w:space="0"/>
            </w:tcBorders>
          </w:tcPr>
          <w:p>
            <w:pPr>
              <w:widowControl/>
              <w:shd w:val="clear" w:color="auto" w:fill="FFFFFF"/>
              <w:spacing w:line="360" w:lineRule="auto"/>
              <w:jc w:val="center"/>
              <w:rPr>
                <w:rFonts w:ascii="仿宋" w:hAnsi="仿宋" w:eastAsia="仿宋" w:cs="仿宋"/>
                <w:sz w:val="28"/>
                <w:szCs w:val="28"/>
              </w:rPr>
            </w:pPr>
          </w:p>
        </w:tc>
        <w:tc>
          <w:tcPr>
            <w:tcW w:w="311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仿宋" w:hAnsi="仿宋" w:eastAsia="仿宋" w:cs="仿宋"/>
                <w:sz w:val="28"/>
                <w:szCs w:val="28"/>
              </w:rPr>
            </w:pPr>
            <w:r>
              <w:rPr>
                <w:rFonts w:hint="eastAsia" w:ascii="仿宋" w:hAnsi="仿宋" w:eastAsia="仿宋" w:cs="仿宋"/>
                <w:sz w:val="28"/>
                <w:szCs w:val="28"/>
              </w:rPr>
              <w:t>没有受到任何处罚</w:t>
            </w:r>
          </w:p>
        </w:tc>
        <w:tc>
          <w:tcPr>
            <w:tcW w:w="3402" w:type="dxa"/>
            <w:tcBorders>
              <w:top w:val="single" w:color="auto" w:sz="4" w:space="0"/>
              <w:left w:val="single" w:color="auto" w:sz="4" w:space="0"/>
              <w:bottom w:val="single" w:color="auto" w:sz="4" w:space="0"/>
              <w:right w:val="single" w:color="auto" w:sz="4" w:space="0"/>
            </w:tcBorders>
          </w:tcPr>
          <w:p>
            <w:pPr>
              <w:widowControl/>
              <w:shd w:val="clear" w:color="auto" w:fill="FFFFFF"/>
              <w:spacing w:line="360" w:lineRule="auto"/>
              <w:jc w:val="center"/>
              <w:rPr>
                <w:rFonts w:ascii="仿宋" w:hAnsi="仿宋" w:eastAsia="仿宋" w:cs="仿宋"/>
                <w:sz w:val="28"/>
                <w:szCs w:val="28"/>
              </w:rPr>
            </w:pPr>
          </w:p>
        </w:tc>
        <w:tc>
          <w:tcPr>
            <w:tcW w:w="1276" w:type="dxa"/>
            <w:tcBorders>
              <w:top w:val="single" w:color="auto" w:sz="4" w:space="0"/>
              <w:left w:val="single" w:color="auto" w:sz="4" w:space="0"/>
              <w:bottom w:val="single" w:color="auto" w:sz="4" w:space="0"/>
              <w:right w:val="single" w:color="auto" w:sz="4" w:space="0"/>
            </w:tcBorders>
          </w:tcPr>
          <w:p>
            <w:pPr>
              <w:widowControl/>
              <w:shd w:val="clear" w:color="auto" w:fill="FFFFFF"/>
              <w:spacing w:line="360" w:lineRule="auto"/>
              <w:jc w:val="center"/>
              <w:rPr>
                <w:rFonts w:ascii="仿宋" w:hAnsi="仿宋" w:eastAsia="仿宋" w:cs="仿宋"/>
                <w:sz w:val="28"/>
                <w:szCs w:val="28"/>
              </w:rPr>
            </w:pPr>
          </w:p>
        </w:tc>
      </w:tr>
    </w:tbl>
    <w:p>
      <w:pPr>
        <w:widowControl/>
        <w:shd w:val="clear" w:color="auto" w:fill="FFFFFF"/>
        <w:spacing w:line="360" w:lineRule="auto"/>
        <w:ind w:firstLine="560" w:firstLineChars="200"/>
        <w:jc w:val="left"/>
        <w:rPr>
          <w:rFonts w:ascii="仿宋" w:hAnsi="仿宋" w:eastAsia="仿宋" w:cs="仿宋"/>
          <w:sz w:val="28"/>
          <w:szCs w:val="28"/>
        </w:rPr>
      </w:pPr>
    </w:p>
    <w:p>
      <w:pPr>
        <w:widowControl/>
        <w:shd w:val="clear" w:color="auto" w:fill="FFFFFF"/>
        <w:spacing w:line="360" w:lineRule="auto"/>
        <w:jc w:val="left"/>
        <w:rPr>
          <w:rFonts w:ascii="仿宋" w:hAnsi="仿宋" w:eastAsia="仿宋" w:cs="仿宋"/>
          <w:sz w:val="28"/>
          <w:szCs w:val="28"/>
        </w:rPr>
      </w:pPr>
      <w:r>
        <w:rPr>
          <w:rFonts w:hint="eastAsia" w:ascii="仿宋" w:hAnsi="仿宋" w:eastAsia="仿宋" w:cs="仿宋"/>
          <w:sz w:val="28"/>
          <w:szCs w:val="28"/>
        </w:rPr>
        <w:t>供应商全称（公章）：</w:t>
      </w:r>
    </w:p>
    <w:p>
      <w:pPr>
        <w:widowControl/>
        <w:shd w:val="clear" w:color="auto" w:fill="FFFFFF"/>
        <w:spacing w:line="360" w:lineRule="auto"/>
        <w:jc w:val="left"/>
        <w:rPr>
          <w:rFonts w:ascii="仿宋" w:hAnsi="仿宋" w:eastAsia="仿宋" w:cs="仿宋"/>
          <w:sz w:val="28"/>
          <w:szCs w:val="28"/>
        </w:rPr>
      </w:pPr>
      <w:r>
        <w:rPr>
          <w:rFonts w:hint="eastAsia" w:ascii="仿宋" w:hAnsi="仿宋" w:eastAsia="仿宋" w:cs="仿宋"/>
          <w:sz w:val="28"/>
          <w:szCs w:val="28"/>
        </w:rPr>
        <w:t>法定代表人或授权委托人（签字）：</w:t>
      </w:r>
    </w:p>
    <w:p>
      <w:pPr>
        <w:widowControl/>
        <w:shd w:val="clear" w:color="auto" w:fill="FFFFFF"/>
        <w:spacing w:line="360" w:lineRule="auto"/>
        <w:jc w:val="left"/>
        <w:rPr>
          <w:rFonts w:ascii="仿宋" w:hAnsi="仿宋" w:eastAsia="仿宋" w:cs="仿宋"/>
          <w:sz w:val="28"/>
          <w:szCs w:val="28"/>
        </w:rPr>
      </w:pPr>
      <w:r>
        <w:rPr>
          <w:rFonts w:ascii="仿宋" w:hAnsi="仿宋" w:eastAsia="仿宋" w:cs="仿宋"/>
          <w:sz w:val="28"/>
          <w:szCs w:val="28"/>
        </w:rPr>
        <w:t>响应日期</w:t>
      </w:r>
      <w:r>
        <w:rPr>
          <w:rFonts w:hint="eastAsia" w:ascii="仿宋" w:hAnsi="仿宋" w:eastAsia="仿宋" w:cs="仿宋"/>
          <w:sz w:val="28"/>
          <w:szCs w:val="28"/>
        </w:rPr>
        <w:t>：     年     月    日</w:t>
      </w:r>
    </w:p>
    <w:p>
      <w:pPr>
        <w:widowControl/>
        <w:jc w:val="left"/>
        <w:rPr>
          <w:rFonts w:asciiTheme="minorEastAsia" w:hAnsiTheme="minorEastAsia"/>
          <w:sz w:val="24"/>
          <w:szCs w:val="28"/>
        </w:rPr>
      </w:pPr>
      <w:r>
        <w:rPr>
          <w:rFonts w:asciiTheme="minorEastAsia" w:hAnsiTheme="minorEastAsia"/>
          <w:sz w:val="24"/>
          <w:szCs w:val="28"/>
        </w:rPr>
        <w:br w:type="page"/>
      </w:r>
    </w:p>
    <w:p>
      <w:pPr>
        <w:widowControl/>
        <w:shd w:val="clear" w:color="auto" w:fill="FFFFFF"/>
        <w:spacing w:line="600" w:lineRule="exact"/>
        <w:jc w:val="center"/>
        <w:rPr>
          <w:rFonts w:ascii="方正大标宋简体" w:hAnsi="仿宋" w:eastAsia="方正大标宋简体" w:cs="仿宋"/>
          <w:bCs/>
          <w:sz w:val="36"/>
          <w:szCs w:val="36"/>
        </w:rPr>
      </w:pPr>
      <w:bookmarkStart w:id="4" w:name="_Toc44750624"/>
      <w:r>
        <w:rPr>
          <w:rFonts w:hint="eastAsia" w:ascii="方正大标宋简体" w:hAnsi="仿宋" w:eastAsia="方正大标宋简体" w:cs="仿宋"/>
          <w:bCs/>
          <w:sz w:val="36"/>
          <w:szCs w:val="36"/>
        </w:rPr>
        <w:t>法定代表人身份证明书</w:t>
      </w:r>
      <w:bookmarkEnd w:id="4"/>
    </w:p>
    <w:p>
      <w:pPr>
        <w:widowControl/>
        <w:shd w:val="clear" w:color="auto" w:fill="FFFFFF"/>
        <w:spacing w:line="360" w:lineRule="auto"/>
        <w:jc w:val="left"/>
        <w:rPr>
          <w:rFonts w:ascii="仿宋" w:hAnsi="仿宋" w:eastAsia="仿宋" w:cs="仿宋"/>
          <w:sz w:val="28"/>
          <w:szCs w:val="28"/>
        </w:rPr>
      </w:pP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先生／女士：现任我单位</w:t>
      </w:r>
      <w:r>
        <w:rPr>
          <w:rFonts w:hint="eastAsia" w:ascii="仿宋" w:hAnsi="仿宋" w:eastAsia="仿宋"/>
          <w:sz w:val="28"/>
          <w:szCs w:val="28"/>
          <w:u w:val="single"/>
        </w:rPr>
        <w:t xml:space="preserve">      </w:t>
      </w:r>
      <w:r>
        <w:rPr>
          <w:rFonts w:hint="eastAsia" w:ascii="仿宋" w:hAnsi="仿宋" w:eastAsia="仿宋"/>
          <w:sz w:val="28"/>
          <w:szCs w:val="28"/>
        </w:rPr>
        <w:t>职务，为法定代表人，特此证明。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身份证号码：</w:t>
      </w:r>
      <w:r>
        <w:rPr>
          <w:rFonts w:hint="eastAsia" w:ascii="仿宋" w:hAnsi="仿宋" w:eastAsia="仿宋"/>
          <w:sz w:val="28"/>
          <w:szCs w:val="28"/>
          <w:u w:val="single"/>
        </w:rPr>
        <w:t xml:space="preserve">                              </w:t>
      </w:r>
    </w:p>
    <w:p>
      <w:pPr>
        <w:spacing w:line="360" w:lineRule="auto"/>
        <w:ind w:firstLine="560" w:firstLineChars="200"/>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供应商全称（公章）：</w:t>
      </w:r>
    </w:p>
    <w:p>
      <w:pPr>
        <w:spacing w:line="360" w:lineRule="auto"/>
        <w:rPr>
          <w:rFonts w:ascii="仿宋" w:hAnsi="仿宋" w:eastAsia="仿宋"/>
          <w:sz w:val="28"/>
          <w:szCs w:val="28"/>
        </w:rPr>
      </w:pPr>
      <w:r>
        <w:rPr>
          <w:rFonts w:hint="eastAsia" w:ascii="仿宋" w:hAnsi="仿宋" w:eastAsia="仿宋"/>
          <w:sz w:val="28"/>
          <w:szCs w:val="28"/>
        </w:rPr>
        <w:t>法定代表人（签字）：</w:t>
      </w:r>
    </w:p>
    <w:p>
      <w:pPr>
        <w:spacing w:line="360" w:lineRule="auto"/>
        <w:rPr>
          <w:rFonts w:ascii="仿宋" w:hAnsi="仿宋" w:eastAsia="仿宋"/>
          <w:sz w:val="28"/>
          <w:szCs w:val="28"/>
        </w:rPr>
      </w:pPr>
      <w:r>
        <w:rPr>
          <w:rFonts w:ascii="仿宋" w:hAnsi="仿宋" w:eastAsia="仿宋"/>
          <w:sz w:val="28"/>
          <w:szCs w:val="28"/>
        </w:rPr>
        <w:t>响应日期</w:t>
      </w:r>
      <w:r>
        <w:rPr>
          <w:rFonts w:hint="eastAsia" w:ascii="仿宋" w:hAnsi="仿宋" w:eastAsia="仿宋"/>
          <w:sz w:val="28"/>
          <w:szCs w:val="28"/>
        </w:rPr>
        <w:t>：     年     月    日</w:t>
      </w:r>
    </w:p>
    <w:p>
      <w:pPr>
        <w:spacing w:line="360" w:lineRule="auto"/>
        <w:ind w:firstLine="560" w:firstLineChars="200"/>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注：提供法定代表人的身份证复印件盖公章</w:t>
      </w:r>
    </w:p>
    <w:p>
      <w:pPr>
        <w:spacing w:line="360" w:lineRule="auto"/>
        <w:ind w:firstLine="560" w:firstLineChars="200"/>
        <w:rPr>
          <w:rFonts w:ascii="仿宋" w:hAnsi="仿宋" w:eastAsia="仿宋"/>
          <w:sz w:val="28"/>
          <w:szCs w:val="28"/>
        </w:rPr>
      </w:pPr>
    </w:p>
    <w:p>
      <w:pPr>
        <w:widowControl/>
        <w:jc w:val="left"/>
        <w:rPr>
          <w:rFonts w:ascii="宋体" w:hAnsi="宋体" w:eastAsia="宋体"/>
          <w:sz w:val="28"/>
          <w:szCs w:val="28"/>
        </w:rPr>
      </w:pPr>
      <w:r>
        <w:rPr>
          <w:rFonts w:ascii="宋体" w:hAnsi="宋体" w:eastAsia="宋体"/>
          <w:sz w:val="28"/>
          <w:szCs w:val="28"/>
        </w:rPr>
        <w:br w:type="page"/>
      </w:r>
    </w:p>
    <w:p>
      <w:pPr>
        <w:widowControl/>
        <w:shd w:val="clear" w:color="auto" w:fill="FFFFFF"/>
        <w:spacing w:line="600" w:lineRule="exact"/>
        <w:jc w:val="center"/>
        <w:rPr>
          <w:rFonts w:ascii="仿宋" w:hAnsi="仿宋" w:eastAsia="仿宋" w:cs="仿宋"/>
          <w:b/>
          <w:sz w:val="28"/>
          <w:szCs w:val="28"/>
        </w:rPr>
      </w:pPr>
      <w:bookmarkStart w:id="5" w:name="_Toc44750625"/>
      <w:r>
        <w:rPr>
          <w:rFonts w:hint="eastAsia" w:ascii="方正大标宋简体" w:hAnsi="仿宋" w:eastAsia="方正大标宋简体" w:cs="仿宋"/>
          <w:bCs/>
          <w:sz w:val="36"/>
          <w:szCs w:val="36"/>
        </w:rPr>
        <w:t>法定代表人授权委托书</w:t>
      </w:r>
      <w:bookmarkEnd w:id="5"/>
    </w:p>
    <w:p>
      <w:pPr>
        <w:widowControl/>
        <w:shd w:val="clear" w:color="auto" w:fill="FFFFFF"/>
        <w:spacing w:line="360" w:lineRule="auto"/>
        <w:jc w:val="left"/>
        <w:rPr>
          <w:rFonts w:ascii="仿宋" w:hAnsi="仿宋" w:eastAsia="仿宋" w:cs="仿宋"/>
          <w:sz w:val="28"/>
          <w:szCs w:val="28"/>
        </w:rPr>
      </w:pPr>
      <w:r>
        <w:rPr>
          <w:rFonts w:hint="eastAsia" w:ascii="仿宋" w:hAnsi="仿宋" w:eastAsia="仿宋" w:cs="仿宋"/>
          <w:sz w:val="28"/>
          <w:szCs w:val="28"/>
        </w:rPr>
        <w:t>南通市科技信息研究所：</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本授权委托书声明：我</w:t>
      </w:r>
      <w:r>
        <w:rPr>
          <w:rFonts w:hint="eastAsia" w:ascii="仿宋" w:hAnsi="仿宋" w:eastAsia="仿宋"/>
          <w:sz w:val="28"/>
          <w:szCs w:val="28"/>
          <w:u w:val="single"/>
        </w:rPr>
        <w:t xml:space="preserve">        </w:t>
      </w:r>
      <w:r>
        <w:rPr>
          <w:rFonts w:hint="eastAsia" w:ascii="仿宋" w:hAnsi="仿宋" w:eastAsia="仿宋"/>
          <w:sz w:val="28"/>
          <w:szCs w:val="28"/>
        </w:rPr>
        <w:t>系</w:t>
      </w:r>
      <w:r>
        <w:rPr>
          <w:rFonts w:hint="eastAsia" w:ascii="仿宋" w:hAnsi="仿宋" w:eastAsia="仿宋"/>
          <w:sz w:val="28"/>
          <w:szCs w:val="28"/>
          <w:u w:val="single"/>
        </w:rPr>
        <w:t xml:space="preserve">               </w:t>
      </w:r>
      <w:r>
        <w:rPr>
          <w:rFonts w:hint="eastAsia" w:ascii="仿宋" w:hAnsi="仿宋" w:eastAsia="仿宋"/>
          <w:sz w:val="28"/>
          <w:szCs w:val="28"/>
        </w:rPr>
        <w:t>的法定代表人，现授权委托</w:t>
      </w:r>
      <w:r>
        <w:rPr>
          <w:rFonts w:hint="eastAsia" w:ascii="仿宋" w:hAnsi="仿宋" w:eastAsia="仿宋"/>
          <w:sz w:val="28"/>
          <w:szCs w:val="28"/>
          <w:u w:val="single"/>
        </w:rPr>
        <w:t xml:space="preserve">          </w:t>
      </w:r>
      <w:r>
        <w:rPr>
          <w:rFonts w:hint="eastAsia" w:ascii="仿宋" w:hAnsi="仿宋" w:eastAsia="仿宋"/>
          <w:sz w:val="28"/>
          <w:szCs w:val="28"/>
        </w:rPr>
        <w:t>为我单位代理人，以本单位的名义参加本项目的响应活动。代理人在开标、评审、合同谈判过程中所签署的一切文件和处理与之有关的一切事务，我均予以承认。</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被委托授权人无转委权。特此委托。</w:t>
      </w:r>
    </w:p>
    <w:p>
      <w:pPr>
        <w:spacing w:line="360" w:lineRule="auto"/>
        <w:rPr>
          <w:rFonts w:ascii="仿宋" w:hAnsi="仿宋" w:eastAsia="仿宋"/>
          <w:sz w:val="28"/>
          <w:szCs w:val="28"/>
        </w:rPr>
      </w:pPr>
      <w:r>
        <w:rPr>
          <w:rFonts w:hint="eastAsia" w:ascii="仿宋" w:hAnsi="仿宋" w:eastAsia="仿宋"/>
          <w:sz w:val="28"/>
          <w:szCs w:val="28"/>
        </w:rPr>
        <w:t>被委托授权人身份证号：</w:t>
      </w:r>
    </w:p>
    <w:p>
      <w:pPr>
        <w:spacing w:line="360" w:lineRule="auto"/>
        <w:rPr>
          <w:rFonts w:ascii="仿宋" w:hAnsi="仿宋" w:eastAsia="仿宋"/>
          <w:sz w:val="28"/>
          <w:szCs w:val="28"/>
        </w:rPr>
      </w:pPr>
      <w:r>
        <w:rPr>
          <w:rFonts w:hint="eastAsia" w:ascii="仿宋" w:hAnsi="仿宋" w:eastAsia="仿宋"/>
          <w:sz w:val="28"/>
          <w:szCs w:val="28"/>
        </w:rPr>
        <w:t>被委托授权人签字：</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供应商全称（公章）：</w:t>
      </w:r>
    </w:p>
    <w:p>
      <w:pPr>
        <w:spacing w:line="360" w:lineRule="auto"/>
        <w:rPr>
          <w:rFonts w:ascii="仿宋" w:hAnsi="仿宋" w:eastAsia="仿宋"/>
          <w:sz w:val="28"/>
          <w:szCs w:val="28"/>
        </w:rPr>
      </w:pPr>
      <w:r>
        <w:rPr>
          <w:rFonts w:hint="eastAsia" w:ascii="仿宋" w:hAnsi="仿宋" w:eastAsia="仿宋"/>
          <w:sz w:val="28"/>
          <w:szCs w:val="28"/>
        </w:rPr>
        <w:t>法定代表人（签字）：</w:t>
      </w:r>
    </w:p>
    <w:p>
      <w:pPr>
        <w:spacing w:line="360" w:lineRule="auto"/>
        <w:rPr>
          <w:rFonts w:ascii="仿宋" w:hAnsi="仿宋" w:eastAsia="仿宋"/>
          <w:sz w:val="28"/>
          <w:szCs w:val="28"/>
        </w:rPr>
      </w:pPr>
      <w:r>
        <w:rPr>
          <w:rFonts w:ascii="仿宋" w:hAnsi="仿宋" w:eastAsia="仿宋"/>
          <w:sz w:val="28"/>
          <w:szCs w:val="28"/>
        </w:rPr>
        <w:t>响应日期</w:t>
      </w:r>
      <w:r>
        <w:rPr>
          <w:rFonts w:hint="eastAsia" w:ascii="仿宋" w:hAnsi="仿宋" w:eastAsia="仿宋"/>
          <w:sz w:val="28"/>
          <w:szCs w:val="28"/>
        </w:rPr>
        <w:t>：     年     月    日</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注：提供被委托授权人的身份证复印件盖公章</w:t>
      </w:r>
    </w:p>
    <w:p>
      <w:pPr>
        <w:widowControl/>
        <w:jc w:val="left"/>
        <w:rPr>
          <w:rFonts w:ascii="仿宋" w:hAnsi="仿宋" w:eastAsia="仿宋"/>
          <w:sz w:val="28"/>
          <w:szCs w:val="28"/>
        </w:rPr>
      </w:pPr>
      <w:r>
        <w:rPr>
          <w:rFonts w:ascii="仿宋" w:hAnsi="仿宋" w:eastAsia="仿宋"/>
          <w:sz w:val="28"/>
          <w:szCs w:val="28"/>
        </w:rPr>
        <w:br w:type="page"/>
      </w:r>
    </w:p>
    <w:p>
      <w:pPr>
        <w:widowControl/>
        <w:shd w:val="clear" w:color="auto" w:fill="FFFFFF"/>
        <w:spacing w:line="600" w:lineRule="exact"/>
        <w:jc w:val="center"/>
        <w:rPr>
          <w:rFonts w:ascii="方正大标宋简体" w:hAnsi="仿宋" w:eastAsia="方正大标宋简体" w:cs="仿宋"/>
          <w:bCs/>
          <w:sz w:val="36"/>
          <w:szCs w:val="36"/>
        </w:rPr>
      </w:pPr>
      <w:r>
        <w:rPr>
          <w:rFonts w:hint="eastAsia" w:ascii="方正大标宋简体" w:hAnsi="仿宋" w:eastAsia="方正大标宋简体" w:cs="仿宋"/>
          <w:bCs/>
          <w:sz w:val="36"/>
          <w:szCs w:val="36"/>
        </w:rPr>
        <w:t>报价总表</w:t>
      </w:r>
    </w:p>
    <w:p>
      <w:pPr>
        <w:spacing w:line="360" w:lineRule="auto"/>
        <w:rPr>
          <w:rFonts w:ascii="仿宋" w:hAnsi="仿宋" w:eastAsia="仿宋"/>
          <w:sz w:val="28"/>
          <w:szCs w:val="28"/>
        </w:rPr>
      </w:pPr>
      <w:r>
        <w:rPr>
          <w:rFonts w:hint="eastAsia" w:ascii="仿宋" w:hAnsi="仿宋" w:eastAsia="仿宋"/>
          <w:sz w:val="28"/>
          <w:szCs w:val="28"/>
        </w:rPr>
        <w:t>供应商（盖章）：</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754"/>
        <w:gridCol w:w="1813"/>
        <w:gridCol w:w="1813"/>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508" w:type="dxa"/>
            <w:gridSpan w:val="2"/>
          </w:tcPr>
          <w:p>
            <w:pPr>
              <w:spacing w:line="360" w:lineRule="auto"/>
              <w:jc w:val="center"/>
              <w:rPr>
                <w:rFonts w:ascii="仿宋" w:hAnsi="仿宋" w:eastAsia="仿宋"/>
                <w:sz w:val="28"/>
                <w:szCs w:val="28"/>
              </w:rPr>
            </w:pPr>
            <w:r>
              <w:rPr>
                <w:rFonts w:hint="eastAsia" w:ascii="仿宋" w:hAnsi="仿宋" w:eastAsia="仿宋"/>
                <w:sz w:val="28"/>
                <w:szCs w:val="28"/>
              </w:rPr>
              <w:t>名称</w:t>
            </w:r>
          </w:p>
        </w:tc>
        <w:tc>
          <w:tcPr>
            <w:tcW w:w="1813" w:type="dxa"/>
          </w:tcPr>
          <w:p>
            <w:pPr>
              <w:spacing w:line="360" w:lineRule="auto"/>
              <w:jc w:val="center"/>
              <w:rPr>
                <w:rFonts w:ascii="仿宋" w:hAnsi="仿宋" w:eastAsia="仿宋"/>
                <w:sz w:val="28"/>
                <w:szCs w:val="28"/>
              </w:rPr>
            </w:pPr>
            <w:r>
              <w:rPr>
                <w:rFonts w:hint="eastAsia" w:ascii="仿宋" w:hAnsi="仿宋" w:eastAsia="仿宋"/>
                <w:sz w:val="28"/>
                <w:szCs w:val="28"/>
              </w:rPr>
              <w:t>数量（套）</w:t>
            </w:r>
          </w:p>
        </w:tc>
        <w:tc>
          <w:tcPr>
            <w:tcW w:w="1813" w:type="dxa"/>
          </w:tcPr>
          <w:p>
            <w:pPr>
              <w:spacing w:line="360" w:lineRule="auto"/>
              <w:jc w:val="center"/>
              <w:rPr>
                <w:rFonts w:ascii="仿宋" w:hAnsi="仿宋" w:eastAsia="仿宋"/>
                <w:sz w:val="28"/>
                <w:szCs w:val="28"/>
              </w:rPr>
            </w:pPr>
            <w:r>
              <w:rPr>
                <w:rFonts w:hint="eastAsia" w:ascii="仿宋" w:hAnsi="仿宋" w:eastAsia="仿宋"/>
                <w:sz w:val="28"/>
                <w:szCs w:val="28"/>
              </w:rPr>
              <w:t>单价（元）</w:t>
            </w:r>
          </w:p>
        </w:tc>
        <w:tc>
          <w:tcPr>
            <w:tcW w:w="1813" w:type="dxa"/>
          </w:tcPr>
          <w:p>
            <w:pPr>
              <w:spacing w:line="360" w:lineRule="auto"/>
              <w:jc w:val="center"/>
              <w:rPr>
                <w:rFonts w:ascii="仿宋" w:hAnsi="仿宋" w:eastAsia="仿宋"/>
                <w:sz w:val="28"/>
                <w:szCs w:val="28"/>
              </w:rPr>
            </w:pPr>
            <w:r>
              <w:rPr>
                <w:rFonts w:hint="eastAsia" w:ascii="仿宋" w:hAnsi="仿宋" w:eastAsia="仿宋"/>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8" w:type="dxa"/>
            <w:gridSpan w:val="2"/>
          </w:tcPr>
          <w:p>
            <w:pPr>
              <w:spacing w:line="360" w:lineRule="auto"/>
              <w:rPr>
                <w:rFonts w:ascii="仿宋" w:hAnsi="仿宋" w:eastAsia="仿宋"/>
                <w:i/>
                <w:sz w:val="28"/>
                <w:szCs w:val="28"/>
              </w:rPr>
            </w:pPr>
          </w:p>
        </w:tc>
        <w:tc>
          <w:tcPr>
            <w:tcW w:w="1813" w:type="dxa"/>
          </w:tcPr>
          <w:p>
            <w:pPr>
              <w:spacing w:line="360" w:lineRule="auto"/>
              <w:jc w:val="center"/>
              <w:rPr>
                <w:rFonts w:ascii="仿宋" w:hAnsi="仿宋" w:eastAsia="仿宋"/>
                <w:sz w:val="28"/>
                <w:szCs w:val="28"/>
              </w:rPr>
            </w:pPr>
          </w:p>
        </w:tc>
        <w:tc>
          <w:tcPr>
            <w:tcW w:w="1813" w:type="dxa"/>
          </w:tcPr>
          <w:p>
            <w:pPr>
              <w:spacing w:line="360" w:lineRule="auto"/>
              <w:rPr>
                <w:rFonts w:ascii="仿宋" w:hAnsi="仿宋" w:eastAsia="仿宋"/>
                <w:sz w:val="28"/>
                <w:szCs w:val="28"/>
              </w:rPr>
            </w:pPr>
          </w:p>
        </w:tc>
        <w:tc>
          <w:tcPr>
            <w:tcW w:w="1813" w:type="dxa"/>
          </w:tcPr>
          <w:p>
            <w:pPr>
              <w:spacing w:line="360" w:lineRule="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8" w:type="dxa"/>
            <w:gridSpan w:val="2"/>
          </w:tcPr>
          <w:p>
            <w:pPr>
              <w:spacing w:line="360" w:lineRule="auto"/>
              <w:rPr>
                <w:rFonts w:ascii="仿宋" w:hAnsi="仿宋" w:eastAsia="仿宋"/>
                <w:i/>
                <w:sz w:val="28"/>
                <w:szCs w:val="28"/>
              </w:rPr>
            </w:pPr>
          </w:p>
        </w:tc>
        <w:tc>
          <w:tcPr>
            <w:tcW w:w="1813" w:type="dxa"/>
          </w:tcPr>
          <w:p>
            <w:pPr>
              <w:spacing w:line="360" w:lineRule="auto"/>
              <w:jc w:val="center"/>
              <w:rPr>
                <w:rFonts w:ascii="仿宋" w:hAnsi="仿宋" w:eastAsia="仿宋"/>
                <w:sz w:val="28"/>
                <w:szCs w:val="28"/>
              </w:rPr>
            </w:pPr>
          </w:p>
        </w:tc>
        <w:tc>
          <w:tcPr>
            <w:tcW w:w="1813" w:type="dxa"/>
          </w:tcPr>
          <w:p>
            <w:pPr>
              <w:spacing w:line="360" w:lineRule="auto"/>
              <w:rPr>
                <w:rFonts w:ascii="仿宋" w:hAnsi="仿宋" w:eastAsia="仿宋"/>
                <w:sz w:val="28"/>
                <w:szCs w:val="28"/>
              </w:rPr>
            </w:pPr>
          </w:p>
        </w:tc>
        <w:tc>
          <w:tcPr>
            <w:tcW w:w="1813" w:type="dxa"/>
          </w:tcPr>
          <w:p>
            <w:pPr>
              <w:spacing w:line="360" w:lineRule="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8" w:type="dxa"/>
            <w:gridSpan w:val="2"/>
          </w:tcPr>
          <w:p>
            <w:pPr>
              <w:spacing w:line="360" w:lineRule="auto"/>
              <w:rPr>
                <w:rFonts w:ascii="仿宋" w:hAnsi="仿宋" w:eastAsia="仿宋"/>
                <w:sz w:val="28"/>
                <w:szCs w:val="28"/>
              </w:rPr>
            </w:pPr>
          </w:p>
        </w:tc>
        <w:tc>
          <w:tcPr>
            <w:tcW w:w="1813" w:type="dxa"/>
          </w:tcPr>
          <w:p>
            <w:pPr>
              <w:spacing w:line="360" w:lineRule="auto"/>
              <w:jc w:val="center"/>
              <w:rPr>
                <w:rFonts w:ascii="仿宋" w:hAnsi="仿宋" w:eastAsia="仿宋"/>
                <w:sz w:val="28"/>
                <w:szCs w:val="28"/>
              </w:rPr>
            </w:pPr>
          </w:p>
        </w:tc>
        <w:tc>
          <w:tcPr>
            <w:tcW w:w="1813" w:type="dxa"/>
          </w:tcPr>
          <w:p>
            <w:pPr>
              <w:spacing w:line="360" w:lineRule="auto"/>
              <w:rPr>
                <w:rFonts w:ascii="仿宋" w:hAnsi="仿宋" w:eastAsia="仿宋"/>
                <w:sz w:val="28"/>
                <w:szCs w:val="28"/>
              </w:rPr>
            </w:pPr>
          </w:p>
        </w:tc>
        <w:tc>
          <w:tcPr>
            <w:tcW w:w="1813" w:type="dxa"/>
          </w:tcPr>
          <w:p>
            <w:pPr>
              <w:spacing w:line="360" w:lineRule="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8" w:type="dxa"/>
            <w:gridSpan w:val="2"/>
          </w:tcPr>
          <w:p>
            <w:pPr>
              <w:spacing w:line="360" w:lineRule="auto"/>
              <w:rPr>
                <w:rFonts w:ascii="仿宋" w:hAnsi="仿宋" w:eastAsia="仿宋"/>
                <w:sz w:val="28"/>
                <w:szCs w:val="28"/>
              </w:rPr>
            </w:pPr>
          </w:p>
        </w:tc>
        <w:tc>
          <w:tcPr>
            <w:tcW w:w="1813" w:type="dxa"/>
          </w:tcPr>
          <w:p>
            <w:pPr>
              <w:spacing w:line="360" w:lineRule="auto"/>
              <w:jc w:val="center"/>
              <w:rPr>
                <w:rFonts w:ascii="仿宋" w:hAnsi="仿宋" w:eastAsia="仿宋"/>
                <w:sz w:val="28"/>
                <w:szCs w:val="28"/>
              </w:rPr>
            </w:pPr>
          </w:p>
        </w:tc>
        <w:tc>
          <w:tcPr>
            <w:tcW w:w="1813" w:type="dxa"/>
          </w:tcPr>
          <w:p>
            <w:pPr>
              <w:spacing w:line="360" w:lineRule="auto"/>
              <w:rPr>
                <w:rFonts w:ascii="仿宋" w:hAnsi="仿宋" w:eastAsia="仿宋"/>
                <w:sz w:val="28"/>
                <w:szCs w:val="28"/>
              </w:rPr>
            </w:pPr>
          </w:p>
        </w:tc>
        <w:tc>
          <w:tcPr>
            <w:tcW w:w="1813" w:type="dxa"/>
          </w:tcPr>
          <w:p>
            <w:pPr>
              <w:spacing w:line="360" w:lineRule="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dxa"/>
            <w:vMerge w:val="restart"/>
          </w:tcPr>
          <w:p>
            <w:pPr>
              <w:spacing w:line="360" w:lineRule="auto"/>
              <w:rPr>
                <w:rFonts w:ascii="仿宋" w:hAnsi="仿宋" w:eastAsia="仿宋"/>
                <w:sz w:val="28"/>
                <w:szCs w:val="28"/>
              </w:rPr>
            </w:pPr>
            <w:r>
              <w:rPr>
                <w:rFonts w:hint="eastAsia" w:ascii="仿宋" w:hAnsi="仿宋" w:eastAsia="仿宋"/>
                <w:sz w:val="28"/>
                <w:szCs w:val="28"/>
              </w:rPr>
              <w:t>详列税费及其他费用</w:t>
            </w:r>
          </w:p>
        </w:tc>
        <w:tc>
          <w:tcPr>
            <w:tcW w:w="1754" w:type="dxa"/>
          </w:tcPr>
          <w:p>
            <w:pPr>
              <w:spacing w:line="360" w:lineRule="auto"/>
              <w:rPr>
                <w:rFonts w:ascii="仿宋" w:hAnsi="仿宋" w:eastAsia="仿宋"/>
                <w:sz w:val="28"/>
                <w:szCs w:val="28"/>
              </w:rPr>
            </w:pPr>
          </w:p>
        </w:tc>
        <w:tc>
          <w:tcPr>
            <w:tcW w:w="1813" w:type="dxa"/>
          </w:tcPr>
          <w:p>
            <w:pPr>
              <w:spacing w:line="360" w:lineRule="auto"/>
              <w:jc w:val="center"/>
              <w:rPr>
                <w:rFonts w:ascii="仿宋" w:hAnsi="仿宋" w:eastAsia="仿宋"/>
                <w:sz w:val="28"/>
                <w:szCs w:val="28"/>
              </w:rPr>
            </w:pPr>
          </w:p>
        </w:tc>
        <w:tc>
          <w:tcPr>
            <w:tcW w:w="1813" w:type="dxa"/>
          </w:tcPr>
          <w:p>
            <w:pPr>
              <w:spacing w:line="360" w:lineRule="auto"/>
              <w:rPr>
                <w:rFonts w:ascii="仿宋" w:hAnsi="仿宋" w:eastAsia="仿宋"/>
                <w:sz w:val="28"/>
                <w:szCs w:val="28"/>
              </w:rPr>
            </w:pPr>
          </w:p>
        </w:tc>
        <w:tc>
          <w:tcPr>
            <w:tcW w:w="1813" w:type="dxa"/>
          </w:tcPr>
          <w:p>
            <w:pPr>
              <w:spacing w:line="360" w:lineRule="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dxa"/>
            <w:vMerge w:val="continue"/>
          </w:tcPr>
          <w:p>
            <w:pPr>
              <w:spacing w:line="360" w:lineRule="auto"/>
              <w:rPr>
                <w:rFonts w:ascii="仿宋" w:hAnsi="仿宋" w:eastAsia="仿宋"/>
                <w:sz w:val="28"/>
                <w:szCs w:val="28"/>
              </w:rPr>
            </w:pPr>
          </w:p>
        </w:tc>
        <w:tc>
          <w:tcPr>
            <w:tcW w:w="1754" w:type="dxa"/>
          </w:tcPr>
          <w:p>
            <w:pPr>
              <w:spacing w:line="360" w:lineRule="auto"/>
              <w:rPr>
                <w:rFonts w:ascii="仿宋" w:hAnsi="仿宋" w:eastAsia="仿宋"/>
                <w:sz w:val="28"/>
                <w:szCs w:val="28"/>
              </w:rPr>
            </w:pPr>
          </w:p>
        </w:tc>
        <w:tc>
          <w:tcPr>
            <w:tcW w:w="1813" w:type="dxa"/>
          </w:tcPr>
          <w:p>
            <w:pPr>
              <w:spacing w:line="360" w:lineRule="auto"/>
              <w:jc w:val="center"/>
              <w:rPr>
                <w:rFonts w:ascii="仿宋" w:hAnsi="仿宋" w:eastAsia="仿宋"/>
                <w:sz w:val="28"/>
                <w:szCs w:val="28"/>
              </w:rPr>
            </w:pPr>
          </w:p>
        </w:tc>
        <w:tc>
          <w:tcPr>
            <w:tcW w:w="1813" w:type="dxa"/>
          </w:tcPr>
          <w:p>
            <w:pPr>
              <w:spacing w:line="360" w:lineRule="auto"/>
              <w:rPr>
                <w:rFonts w:ascii="仿宋" w:hAnsi="仿宋" w:eastAsia="仿宋"/>
                <w:sz w:val="28"/>
                <w:szCs w:val="28"/>
              </w:rPr>
            </w:pPr>
          </w:p>
        </w:tc>
        <w:tc>
          <w:tcPr>
            <w:tcW w:w="1813" w:type="dxa"/>
          </w:tcPr>
          <w:p>
            <w:pPr>
              <w:spacing w:line="360" w:lineRule="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dxa"/>
            <w:vMerge w:val="continue"/>
          </w:tcPr>
          <w:p>
            <w:pPr>
              <w:spacing w:line="360" w:lineRule="auto"/>
              <w:rPr>
                <w:rFonts w:ascii="仿宋" w:hAnsi="仿宋" w:eastAsia="仿宋"/>
                <w:sz w:val="28"/>
                <w:szCs w:val="28"/>
              </w:rPr>
            </w:pPr>
          </w:p>
        </w:tc>
        <w:tc>
          <w:tcPr>
            <w:tcW w:w="1754" w:type="dxa"/>
          </w:tcPr>
          <w:p>
            <w:pPr>
              <w:spacing w:line="360" w:lineRule="auto"/>
              <w:rPr>
                <w:rFonts w:ascii="仿宋" w:hAnsi="仿宋" w:eastAsia="仿宋"/>
                <w:sz w:val="28"/>
                <w:szCs w:val="28"/>
              </w:rPr>
            </w:pPr>
          </w:p>
        </w:tc>
        <w:tc>
          <w:tcPr>
            <w:tcW w:w="1813" w:type="dxa"/>
          </w:tcPr>
          <w:p>
            <w:pPr>
              <w:spacing w:line="360" w:lineRule="auto"/>
              <w:jc w:val="center"/>
              <w:rPr>
                <w:rFonts w:ascii="仿宋" w:hAnsi="仿宋" w:eastAsia="仿宋"/>
                <w:sz w:val="28"/>
                <w:szCs w:val="28"/>
              </w:rPr>
            </w:pPr>
          </w:p>
        </w:tc>
        <w:tc>
          <w:tcPr>
            <w:tcW w:w="1813" w:type="dxa"/>
          </w:tcPr>
          <w:p>
            <w:pPr>
              <w:spacing w:line="360" w:lineRule="auto"/>
              <w:rPr>
                <w:rFonts w:ascii="仿宋" w:hAnsi="仿宋" w:eastAsia="仿宋"/>
                <w:sz w:val="28"/>
                <w:szCs w:val="28"/>
              </w:rPr>
            </w:pPr>
          </w:p>
        </w:tc>
        <w:tc>
          <w:tcPr>
            <w:tcW w:w="1813" w:type="dxa"/>
          </w:tcPr>
          <w:p>
            <w:pPr>
              <w:spacing w:line="360" w:lineRule="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dxa"/>
            <w:vMerge w:val="continue"/>
          </w:tcPr>
          <w:p>
            <w:pPr>
              <w:spacing w:line="360" w:lineRule="auto"/>
              <w:rPr>
                <w:rFonts w:ascii="仿宋" w:hAnsi="仿宋" w:eastAsia="仿宋"/>
                <w:sz w:val="28"/>
                <w:szCs w:val="28"/>
              </w:rPr>
            </w:pPr>
          </w:p>
        </w:tc>
        <w:tc>
          <w:tcPr>
            <w:tcW w:w="1754" w:type="dxa"/>
          </w:tcPr>
          <w:p>
            <w:pPr>
              <w:spacing w:line="360" w:lineRule="auto"/>
              <w:rPr>
                <w:rFonts w:ascii="仿宋" w:hAnsi="仿宋" w:eastAsia="仿宋"/>
                <w:sz w:val="28"/>
                <w:szCs w:val="28"/>
              </w:rPr>
            </w:pPr>
          </w:p>
        </w:tc>
        <w:tc>
          <w:tcPr>
            <w:tcW w:w="1813" w:type="dxa"/>
          </w:tcPr>
          <w:p>
            <w:pPr>
              <w:spacing w:line="360" w:lineRule="auto"/>
              <w:jc w:val="center"/>
              <w:rPr>
                <w:rFonts w:ascii="仿宋" w:hAnsi="仿宋" w:eastAsia="仿宋"/>
                <w:sz w:val="28"/>
                <w:szCs w:val="28"/>
              </w:rPr>
            </w:pPr>
          </w:p>
        </w:tc>
        <w:tc>
          <w:tcPr>
            <w:tcW w:w="1813" w:type="dxa"/>
          </w:tcPr>
          <w:p>
            <w:pPr>
              <w:spacing w:line="360" w:lineRule="auto"/>
              <w:rPr>
                <w:rFonts w:ascii="仿宋" w:hAnsi="仿宋" w:eastAsia="仿宋"/>
                <w:sz w:val="28"/>
                <w:szCs w:val="28"/>
              </w:rPr>
            </w:pPr>
          </w:p>
        </w:tc>
        <w:tc>
          <w:tcPr>
            <w:tcW w:w="1813" w:type="dxa"/>
          </w:tcPr>
          <w:p>
            <w:pPr>
              <w:spacing w:line="360" w:lineRule="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4" w:type="dxa"/>
            <w:gridSpan w:val="4"/>
          </w:tcPr>
          <w:p>
            <w:pPr>
              <w:spacing w:line="360" w:lineRule="auto"/>
              <w:rPr>
                <w:rFonts w:ascii="仿宋" w:hAnsi="仿宋" w:eastAsia="仿宋"/>
                <w:sz w:val="28"/>
                <w:szCs w:val="28"/>
              </w:rPr>
            </w:pPr>
            <w:r>
              <w:rPr>
                <w:rFonts w:hint="eastAsia" w:ascii="仿宋" w:hAnsi="仿宋" w:eastAsia="仿宋"/>
                <w:sz w:val="28"/>
                <w:szCs w:val="28"/>
              </w:rPr>
              <w:t>总报价（大写）：</w:t>
            </w:r>
          </w:p>
        </w:tc>
        <w:tc>
          <w:tcPr>
            <w:tcW w:w="1813" w:type="dxa"/>
          </w:tcPr>
          <w:p>
            <w:pPr>
              <w:spacing w:line="360" w:lineRule="auto"/>
              <w:rPr>
                <w:rFonts w:ascii="仿宋" w:hAnsi="仿宋" w:eastAsia="仿宋"/>
                <w:sz w:val="28"/>
                <w:szCs w:val="28"/>
              </w:rPr>
            </w:pPr>
            <w:r>
              <w:rPr>
                <w:rFonts w:hint="eastAsia" w:ascii="仿宋" w:hAnsi="仿宋" w:eastAsia="仿宋"/>
                <w:sz w:val="28"/>
                <w:szCs w:val="28"/>
              </w:rPr>
              <w:t>￥</w:t>
            </w:r>
          </w:p>
        </w:tc>
      </w:tr>
    </w:tbl>
    <w:p>
      <w:pPr>
        <w:spacing w:line="360" w:lineRule="auto"/>
        <w:rPr>
          <w:rFonts w:ascii="仿宋" w:hAnsi="仿宋" w:eastAsia="仿宋"/>
          <w:sz w:val="28"/>
          <w:szCs w:val="28"/>
        </w:rPr>
      </w:pPr>
      <w:r>
        <w:rPr>
          <w:rFonts w:hint="eastAsia" w:ascii="仿宋" w:hAnsi="仿宋" w:eastAsia="仿宋"/>
          <w:sz w:val="28"/>
          <w:szCs w:val="28"/>
        </w:rPr>
        <w:t>注：1.本表只是表式，供应商可根据实际需要自行增减。</w:t>
      </w:r>
    </w:p>
    <w:p>
      <w:pPr>
        <w:widowControl/>
        <w:jc w:val="left"/>
        <w:rPr>
          <w:rFonts w:ascii="仿宋" w:hAnsi="仿宋" w:eastAsia="仿宋"/>
          <w:sz w:val="28"/>
          <w:szCs w:val="28"/>
        </w:rPr>
      </w:pPr>
      <w:r>
        <w:rPr>
          <w:rFonts w:ascii="仿宋" w:hAnsi="仿宋" w:eastAsia="仿宋"/>
          <w:sz w:val="28"/>
          <w:szCs w:val="28"/>
        </w:rPr>
        <w:br w:type="page"/>
      </w:r>
    </w:p>
    <w:p>
      <w:pPr>
        <w:widowControl/>
        <w:shd w:val="clear" w:color="auto" w:fill="FFFFFF"/>
        <w:spacing w:line="600" w:lineRule="exact"/>
        <w:jc w:val="center"/>
        <w:rPr>
          <w:rFonts w:ascii="方正大标宋简体" w:hAnsi="仿宋" w:eastAsia="方正大标宋简体" w:cs="仿宋"/>
          <w:bCs/>
          <w:sz w:val="36"/>
          <w:szCs w:val="36"/>
        </w:rPr>
      </w:pPr>
      <w:r>
        <w:rPr>
          <w:rFonts w:hint="eastAsia" w:ascii="方正大标宋简体" w:hAnsi="仿宋" w:eastAsia="方正大标宋简体" w:cs="仿宋"/>
          <w:bCs/>
          <w:sz w:val="36"/>
          <w:szCs w:val="36"/>
        </w:rPr>
        <w:t>情况一览表</w:t>
      </w:r>
    </w:p>
    <w:tbl>
      <w:tblPr>
        <w:tblStyle w:val="8"/>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851"/>
        <w:gridCol w:w="708"/>
        <w:gridCol w:w="1561"/>
        <w:gridCol w:w="1135"/>
        <w:gridCol w:w="851"/>
        <w:gridCol w:w="141"/>
        <w:gridCol w:w="271"/>
        <w:gridCol w:w="1002"/>
        <w:gridCol w:w="271"/>
        <w:gridCol w:w="11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6" w:type="dxa"/>
            <w:gridSpan w:val="2"/>
            <w:vAlign w:val="center"/>
          </w:tcPr>
          <w:p>
            <w:pPr>
              <w:spacing w:line="360" w:lineRule="auto"/>
              <w:rPr>
                <w:rFonts w:ascii="仿宋" w:hAnsi="仿宋" w:eastAsia="仿宋"/>
                <w:sz w:val="24"/>
                <w:szCs w:val="24"/>
              </w:rPr>
            </w:pPr>
            <w:r>
              <w:rPr>
                <w:rFonts w:hint="eastAsia" w:ascii="仿宋" w:hAnsi="仿宋" w:eastAsia="仿宋"/>
                <w:sz w:val="24"/>
                <w:szCs w:val="24"/>
              </w:rPr>
              <w:t>单位名称</w:t>
            </w:r>
          </w:p>
        </w:tc>
        <w:tc>
          <w:tcPr>
            <w:tcW w:w="7941" w:type="dxa"/>
            <w:gridSpan w:val="10"/>
            <w:vAlign w:val="center"/>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4" w:type="dxa"/>
            <w:gridSpan w:val="3"/>
            <w:vAlign w:val="center"/>
          </w:tcPr>
          <w:p>
            <w:pPr>
              <w:spacing w:line="360" w:lineRule="auto"/>
              <w:rPr>
                <w:rFonts w:ascii="仿宋" w:hAnsi="仿宋" w:eastAsia="仿宋"/>
                <w:sz w:val="24"/>
                <w:szCs w:val="24"/>
              </w:rPr>
            </w:pPr>
            <w:r>
              <w:rPr>
                <w:rFonts w:hint="eastAsia" w:ascii="仿宋" w:hAnsi="仿宋" w:eastAsia="仿宋"/>
                <w:sz w:val="24"/>
                <w:szCs w:val="24"/>
              </w:rPr>
              <w:t>单位优势及特长</w:t>
            </w:r>
          </w:p>
        </w:tc>
        <w:tc>
          <w:tcPr>
            <w:tcW w:w="7233" w:type="dxa"/>
            <w:gridSpan w:val="9"/>
            <w:vAlign w:val="center"/>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restart"/>
            <w:vAlign w:val="center"/>
          </w:tcPr>
          <w:p>
            <w:pPr>
              <w:spacing w:line="360" w:lineRule="auto"/>
              <w:rPr>
                <w:rFonts w:ascii="仿宋" w:hAnsi="仿宋" w:eastAsia="仿宋"/>
                <w:sz w:val="24"/>
                <w:szCs w:val="24"/>
              </w:rPr>
            </w:pPr>
            <w:r>
              <w:rPr>
                <w:rFonts w:hint="eastAsia" w:ascii="仿宋" w:hAnsi="仿宋" w:eastAsia="仿宋"/>
                <w:sz w:val="24"/>
                <w:szCs w:val="24"/>
              </w:rPr>
              <w:t>单位</w:t>
            </w:r>
          </w:p>
          <w:p>
            <w:pPr>
              <w:spacing w:line="360" w:lineRule="auto"/>
              <w:rPr>
                <w:rFonts w:ascii="仿宋" w:hAnsi="仿宋" w:eastAsia="仿宋"/>
                <w:sz w:val="24"/>
                <w:szCs w:val="24"/>
              </w:rPr>
            </w:pPr>
            <w:r>
              <w:rPr>
                <w:rFonts w:hint="eastAsia" w:ascii="仿宋" w:hAnsi="仿宋" w:eastAsia="仿宋"/>
                <w:sz w:val="24"/>
                <w:szCs w:val="24"/>
              </w:rPr>
              <w:t>概况</w:t>
            </w:r>
          </w:p>
        </w:tc>
        <w:tc>
          <w:tcPr>
            <w:tcW w:w="1559" w:type="dxa"/>
            <w:gridSpan w:val="2"/>
            <w:vAlign w:val="center"/>
          </w:tcPr>
          <w:p>
            <w:pPr>
              <w:spacing w:line="360" w:lineRule="auto"/>
              <w:rPr>
                <w:rFonts w:ascii="仿宋" w:hAnsi="仿宋" w:eastAsia="仿宋"/>
                <w:sz w:val="24"/>
                <w:szCs w:val="24"/>
              </w:rPr>
            </w:pPr>
            <w:r>
              <w:rPr>
                <w:rFonts w:hint="eastAsia" w:ascii="仿宋" w:hAnsi="仿宋" w:eastAsia="仿宋"/>
                <w:sz w:val="24"/>
                <w:szCs w:val="24"/>
              </w:rPr>
              <w:t>职工总数</w:t>
            </w:r>
          </w:p>
        </w:tc>
        <w:tc>
          <w:tcPr>
            <w:tcW w:w="1561" w:type="dxa"/>
            <w:vAlign w:val="center"/>
          </w:tcPr>
          <w:p>
            <w:pPr>
              <w:spacing w:line="360" w:lineRule="auto"/>
              <w:rPr>
                <w:rFonts w:ascii="仿宋" w:hAnsi="仿宋" w:eastAsia="仿宋"/>
                <w:sz w:val="24"/>
                <w:szCs w:val="24"/>
              </w:rPr>
            </w:pPr>
            <w:r>
              <w:rPr>
                <w:rFonts w:hint="eastAsia" w:ascii="仿宋" w:hAnsi="仿宋" w:eastAsia="仿宋"/>
                <w:sz w:val="24"/>
                <w:szCs w:val="24"/>
              </w:rPr>
              <w:t>人</w:t>
            </w:r>
          </w:p>
        </w:tc>
        <w:tc>
          <w:tcPr>
            <w:tcW w:w="1135" w:type="dxa"/>
            <w:vMerge w:val="restart"/>
            <w:vAlign w:val="center"/>
          </w:tcPr>
          <w:p>
            <w:pPr>
              <w:spacing w:line="360" w:lineRule="auto"/>
              <w:rPr>
                <w:rFonts w:ascii="仿宋" w:hAnsi="仿宋" w:eastAsia="仿宋"/>
                <w:sz w:val="24"/>
                <w:szCs w:val="24"/>
              </w:rPr>
            </w:pPr>
            <w:r>
              <w:rPr>
                <w:rFonts w:hint="eastAsia" w:ascii="仿宋" w:hAnsi="仿宋" w:eastAsia="仿宋"/>
                <w:sz w:val="24"/>
                <w:szCs w:val="24"/>
              </w:rPr>
              <w:t>上一年主要经济指标</w:t>
            </w:r>
          </w:p>
        </w:tc>
        <w:tc>
          <w:tcPr>
            <w:tcW w:w="992" w:type="dxa"/>
            <w:gridSpan w:val="2"/>
            <w:vAlign w:val="center"/>
          </w:tcPr>
          <w:p>
            <w:pPr>
              <w:spacing w:line="360" w:lineRule="auto"/>
              <w:rPr>
                <w:rFonts w:ascii="仿宋" w:hAnsi="仿宋" w:eastAsia="仿宋"/>
                <w:sz w:val="24"/>
                <w:szCs w:val="24"/>
              </w:rPr>
            </w:pPr>
            <w:r>
              <w:rPr>
                <w:rFonts w:hint="eastAsia" w:ascii="仿宋" w:hAnsi="仿宋" w:eastAsia="仿宋"/>
                <w:sz w:val="24"/>
                <w:szCs w:val="24"/>
              </w:rPr>
              <w:t>营业额</w:t>
            </w:r>
          </w:p>
        </w:tc>
        <w:tc>
          <w:tcPr>
            <w:tcW w:w="1273" w:type="dxa"/>
            <w:gridSpan w:val="2"/>
            <w:vAlign w:val="center"/>
          </w:tcPr>
          <w:p>
            <w:pPr>
              <w:spacing w:line="360" w:lineRule="auto"/>
              <w:rPr>
                <w:rFonts w:ascii="仿宋" w:hAnsi="仿宋" w:eastAsia="仿宋"/>
                <w:sz w:val="24"/>
                <w:szCs w:val="24"/>
              </w:rPr>
            </w:pPr>
          </w:p>
        </w:tc>
        <w:tc>
          <w:tcPr>
            <w:tcW w:w="1421" w:type="dxa"/>
            <w:gridSpan w:val="2"/>
            <w:vAlign w:val="center"/>
          </w:tcPr>
          <w:p>
            <w:pPr>
              <w:spacing w:line="360" w:lineRule="auto"/>
              <w:rPr>
                <w:rFonts w:ascii="仿宋" w:hAnsi="仿宋" w:eastAsia="仿宋"/>
                <w:sz w:val="24"/>
                <w:szCs w:val="24"/>
              </w:rPr>
            </w:pPr>
            <w:r>
              <w:rPr>
                <w:rFonts w:hint="eastAsia" w:ascii="仿宋" w:hAnsi="仿宋" w:eastAsia="仿宋"/>
                <w:sz w:val="24"/>
                <w:szCs w:val="24"/>
              </w:rPr>
              <w:t>实现利润</w:t>
            </w:r>
          </w:p>
        </w:tc>
        <w:tc>
          <w:tcPr>
            <w:tcW w:w="851" w:type="dxa"/>
            <w:vAlign w:val="center"/>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pPr>
              <w:spacing w:line="360" w:lineRule="auto"/>
              <w:rPr>
                <w:rFonts w:ascii="仿宋" w:hAnsi="仿宋" w:eastAsia="仿宋"/>
                <w:sz w:val="24"/>
                <w:szCs w:val="24"/>
              </w:rPr>
            </w:pPr>
          </w:p>
        </w:tc>
        <w:tc>
          <w:tcPr>
            <w:tcW w:w="1559" w:type="dxa"/>
            <w:gridSpan w:val="2"/>
            <w:vAlign w:val="center"/>
          </w:tcPr>
          <w:p>
            <w:pPr>
              <w:spacing w:line="360" w:lineRule="auto"/>
              <w:rPr>
                <w:rFonts w:ascii="仿宋" w:hAnsi="仿宋" w:eastAsia="仿宋"/>
                <w:sz w:val="24"/>
                <w:szCs w:val="24"/>
              </w:rPr>
            </w:pPr>
            <w:r>
              <w:rPr>
                <w:rFonts w:hint="eastAsia" w:ascii="仿宋" w:hAnsi="仿宋" w:eastAsia="仿宋"/>
                <w:sz w:val="24"/>
                <w:szCs w:val="24"/>
              </w:rPr>
              <w:t>流动资金</w:t>
            </w:r>
          </w:p>
        </w:tc>
        <w:tc>
          <w:tcPr>
            <w:tcW w:w="1561" w:type="dxa"/>
            <w:vAlign w:val="center"/>
          </w:tcPr>
          <w:p>
            <w:pPr>
              <w:spacing w:line="360" w:lineRule="auto"/>
              <w:rPr>
                <w:rFonts w:ascii="仿宋" w:hAnsi="仿宋" w:eastAsia="仿宋"/>
                <w:sz w:val="24"/>
                <w:szCs w:val="24"/>
              </w:rPr>
            </w:pPr>
            <w:r>
              <w:rPr>
                <w:rFonts w:hint="eastAsia" w:ascii="仿宋" w:hAnsi="仿宋" w:eastAsia="仿宋"/>
                <w:sz w:val="24"/>
                <w:szCs w:val="24"/>
              </w:rPr>
              <w:t>万元</w:t>
            </w:r>
          </w:p>
        </w:tc>
        <w:tc>
          <w:tcPr>
            <w:tcW w:w="1135" w:type="dxa"/>
            <w:vMerge w:val="continue"/>
            <w:vAlign w:val="center"/>
          </w:tcPr>
          <w:p>
            <w:pPr>
              <w:spacing w:line="360" w:lineRule="auto"/>
              <w:rPr>
                <w:rFonts w:ascii="仿宋" w:hAnsi="仿宋" w:eastAsia="仿宋"/>
                <w:sz w:val="24"/>
                <w:szCs w:val="24"/>
              </w:rPr>
            </w:pPr>
          </w:p>
        </w:tc>
        <w:tc>
          <w:tcPr>
            <w:tcW w:w="992" w:type="dxa"/>
            <w:gridSpan w:val="2"/>
            <w:vMerge w:val="restart"/>
            <w:vAlign w:val="center"/>
          </w:tcPr>
          <w:p>
            <w:pPr>
              <w:spacing w:line="360" w:lineRule="auto"/>
              <w:rPr>
                <w:rFonts w:ascii="仿宋" w:hAnsi="仿宋" w:eastAsia="仿宋"/>
                <w:sz w:val="24"/>
                <w:szCs w:val="24"/>
              </w:rPr>
            </w:pPr>
            <w:r>
              <w:rPr>
                <w:rFonts w:hint="eastAsia" w:ascii="仿宋" w:hAnsi="仿宋" w:eastAsia="仿宋"/>
                <w:sz w:val="24"/>
                <w:szCs w:val="24"/>
              </w:rPr>
              <w:t>主要</w:t>
            </w:r>
          </w:p>
          <w:p>
            <w:pPr>
              <w:spacing w:line="360" w:lineRule="auto"/>
              <w:rPr>
                <w:rFonts w:ascii="仿宋" w:hAnsi="仿宋" w:eastAsia="仿宋"/>
                <w:sz w:val="24"/>
                <w:szCs w:val="24"/>
              </w:rPr>
            </w:pPr>
            <w:r>
              <w:rPr>
                <w:rFonts w:hint="eastAsia" w:ascii="仿宋" w:hAnsi="仿宋" w:eastAsia="仿宋"/>
                <w:sz w:val="24"/>
                <w:szCs w:val="24"/>
              </w:rPr>
              <w:t>产品</w:t>
            </w:r>
          </w:p>
        </w:tc>
        <w:tc>
          <w:tcPr>
            <w:tcW w:w="3545" w:type="dxa"/>
            <w:gridSpan w:val="5"/>
            <w:vAlign w:val="center"/>
          </w:tcPr>
          <w:p>
            <w:pPr>
              <w:spacing w:line="360" w:lineRule="auto"/>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815" w:type="dxa"/>
            <w:vMerge w:val="continue"/>
            <w:vAlign w:val="center"/>
          </w:tcPr>
          <w:p>
            <w:pPr>
              <w:spacing w:line="360" w:lineRule="auto"/>
              <w:rPr>
                <w:rFonts w:ascii="仿宋" w:hAnsi="仿宋" w:eastAsia="仿宋"/>
                <w:sz w:val="24"/>
                <w:szCs w:val="24"/>
              </w:rPr>
            </w:pPr>
          </w:p>
        </w:tc>
        <w:tc>
          <w:tcPr>
            <w:tcW w:w="1559" w:type="dxa"/>
            <w:gridSpan w:val="2"/>
            <w:vAlign w:val="center"/>
          </w:tcPr>
          <w:p>
            <w:pPr>
              <w:spacing w:line="360" w:lineRule="auto"/>
              <w:rPr>
                <w:rFonts w:ascii="仿宋" w:hAnsi="仿宋" w:eastAsia="仿宋"/>
                <w:sz w:val="24"/>
                <w:szCs w:val="24"/>
              </w:rPr>
            </w:pPr>
            <w:r>
              <w:rPr>
                <w:rFonts w:hint="eastAsia" w:ascii="仿宋" w:hAnsi="仿宋" w:eastAsia="仿宋"/>
                <w:sz w:val="24"/>
                <w:szCs w:val="24"/>
              </w:rPr>
              <w:t>固定资产</w:t>
            </w:r>
          </w:p>
          <w:p>
            <w:pPr>
              <w:spacing w:line="360" w:lineRule="auto"/>
              <w:rPr>
                <w:rFonts w:ascii="仿宋" w:hAnsi="仿宋" w:eastAsia="仿宋"/>
                <w:sz w:val="24"/>
                <w:szCs w:val="24"/>
              </w:rPr>
            </w:pPr>
            <w:r>
              <w:rPr>
                <w:rFonts w:hint="eastAsia" w:ascii="仿宋" w:hAnsi="仿宋" w:eastAsia="仿宋"/>
                <w:sz w:val="24"/>
                <w:szCs w:val="24"/>
              </w:rPr>
              <w:t>（万元）</w:t>
            </w:r>
          </w:p>
        </w:tc>
        <w:tc>
          <w:tcPr>
            <w:tcW w:w="1561" w:type="dxa"/>
            <w:vAlign w:val="center"/>
          </w:tcPr>
          <w:p>
            <w:pPr>
              <w:spacing w:line="360" w:lineRule="auto"/>
              <w:rPr>
                <w:rFonts w:ascii="仿宋" w:hAnsi="仿宋" w:eastAsia="仿宋"/>
                <w:sz w:val="24"/>
                <w:szCs w:val="24"/>
              </w:rPr>
            </w:pPr>
            <w:r>
              <w:rPr>
                <w:rFonts w:hint="eastAsia" w:ascii="仿宋" w:hAnsi="仿宋" w:eastAsia="仿宋"/>
                <w:sz w:val="24"/>
                <w:szCs w:val="24"/>
              </w:rPr>
              <w:t>原值：</w:t>
            </w:r>
          </w:p>
          <w:p>
            <w:pPr>
              <w:spacing w:line="360" w:lineRule="auto"/>
              <w:rPr>
                <w:rFonts w:ascii="仿宋" w:hAnsi="仿宋" w:eastAsia="仿宋"/>
                <w:sz w:val="24"/>
                <w:szCs w:val="24"/>
              </w:rPr>
            </w:pPr>
            <w:r>
              <w:rPr>
                <w:rFonts w:hint="eastAsia" w:ascii="仿宋" w:hAnsi="仿宋" w:eastAsia="仿宋"/>
                <w:sz w:val="24"/>
                <w:szCs w:val="24"/>
              </w:rPr>
              <w:t>净值：</w:t>
            </w:r>
          </w:p>
        </w:tc>
        <w:tc>
          <w:tcPr>
            <w:tcW w:w="1135" w:type="dxa"/>
            <w:vMerge w:val="continue"/>
            <w:vAlign w:val="center"/>
          </w:tcPr>
          <w:p>
            <w:pPr>
              <w:spacing w:line="360" w:lineRule="auto"/>
              <w:rPr>
                <w:rFonts w:ascii="仿宋" w:hAnsi="仿宋" w:eastAsia="仿宋"/>
                <w:sz w:val="24"/>
                <w:szCs w:val="24"/>
              </w:rPr>
            </w:pPr>
          </w:p>
        </w:tc>
        <w:tc>
          <w:tcPr>
            <w:tcW w:w="992" w:type="dxa"/>
            <w:gridSpan w:val="2"/>
            <w:vMerge w:val="continue"/>
            <w:vAlign w:val="center"/>
          </w:tcPr>
          <w:p>
            <w:pPr>
              <w:spacing w:line="360" w:lineRule="auto"/>
              <w:rPr>
                <w:rFonts w:ascii="仿宋" w:hAnsi="仿宋" w:eastAsia="仿宋"/>
                <w:sz w:val="24"/>
                <w:szCs w:val="24"/>
              </w:rPr>
            </w:pPr>
          </w:p>
        </w:tc>
        <w:tc>
          <w:tcPr>
            <w:tcW w:w="3545" w:type="dxa"/>
            <w:gridSpan w:val="5"/>
            <w:vAlign w:val="center"/>
          </w:tcPr>
          <w:p>
            <w:pPr>
              <w:spacing w:line="360" w:lineRule="auto"/>
              <w:rPr>
                <w:rFonts w:ascii="仿宋" w:hAnsi="仿宋" w:eastAsia="仿宋"/>
                <w:sz w:val="24"/>
                <w:szCs w:val="24"/>
              </w:rPr>
            </w:pPr>
            <w:r>
              <w:rPr>
                <w:rFonts w:hint="eastAsia"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pPr>
              <w:spacing w:line="360" w:lineRule="auto"/>
              <w:rPr>
                <w:rFonts w:ascii="仿宋" w:hAnsi="仿宋" w:eastAsia="仿宋"/>
                <w:sz w:val="24"/>
                <w:szCs w:val="24"/>
              </w:rPr>
            </w:pPr>
          </w:p>
        </w:tc>
        <w:tc>
          <w:tcPr>
            <w:tcW w:w="1559" w:type="dxa"/>
            <w:gridSpan w:val="2"/>
            <w:vAlign w:val="center"/>
          </w:tcPr>
          <w:p>
            <w:pPr>
              <w:spacing w:line="360" w:lineRule="auto"/>
              <w:rPr>
                <w:rFonts w:ascii="仿宋" w:hAnsi="仿宋" w:eastAsia="仿宋"/>
                <w:sz w:val="24"/>
                <w:szCs w:val="24"/>
              </w:rPr>
            </w:pPr>
            <w:r>
              <w:rPr>
                <w:rFonts w:hint="eastAsia" w:ascii="仿宋" w:hAnsi="仿宋" w:eastAsia="仿宋"/>
                <w:sz w:val="24"/>
                <w:szCs w:val="24"/>
              </w:rPr>
              <w:t>占地面积</w:t>
            </w:r>
          </w:p>
        </w:tc>
        <w:tc>
          <w:tcPr>
            <w:tcW w:w="1561" w:type="dxa"/>
            <w:vAlign w:val="center"/>
          </w:tcPr>
          <w:p>
            <w:pPr>
              <w:spacing w:line="360" w:lineRule="auto"/>
              <w:rPr>
                <w:rFonts w:ascii="仿宋" w:hAnsi="仿宋" w:eastAsia="仿宋"/>
                <w:sz w:val="24"/>
                <w:szCs w:val="24"/>
              </w:rPr>
            </w:pPr>
            <w:r>
              <w:rPr>
                <w:rFonts w:hint="eastAsia" w:ascii="仿宋" w:hAnsi="仿宋" w:eastAsia="仿宋"/>
                <w:sz w:val="24"/>
                <w:szCs w:val="24"/>
              </w:rPr>
              <w:t>M2</w:t>
            </w:r>
          </w:p>
        </w:tc>
        <w:tc>
          <w:tcPr>
            <w:tcW w:w="1135" w:type="dxa"/>
            <w:vMerge w:val="continue"/>
            <w:vAlign w:val="center"/>
          </w:tcPr>
          <w:p>
            <w:pPr>
              <w:spacing w:line="360" w:lineRule="auto"/>
              <w:rPr>
                <w:rFonts w:ascii="仿宋" w:hAnsi="仿宋" w:eastAsia="仿宋"/>
                <w:sz w:val="24"/>
                <w:szCs w:val="24"/>
              </w:rPr>
            </w:pPr>
          </w:p>
        </w:tc>
        <w:tc>
          <w:tcPr>
            <w:tcW w:w="992" w:type="dxa"/>
            <w:gridSpan w:val="2"/>
            <w:vMerge w:val="continue"/>
            <w:vAlign w:val="center"/>
          </w:tcPr>
          <w:p>
            <w:pPr>
              <w:spacing w:line="360" w:lineRule="auto"/>
              <w:rPr>
                <w:rFonts w:ascii="仿宋" w:hAnsi="仿宋" w:eastAsia="仿宋"/>
                <w:sz w:val="24"/>
                <w:szCs w:val="24"/>
              </w:rPr>
            </w:pPr>
          </w:p>
        </w:tc>
        <w:tc>
          <w:tcPr>
            <w:tcW w:w="3545" w:type="dxa"/>
            <w:gridSpan w:val="5"/>
            <w:vAlign w:val="center"/>
          </w:tcPr>
          <w:p>
            <w:pPr>
              <w:spacing w:line="360" w:lineRule="auto"/>
              <w:rPr>
                <w:rFonts w:ascii="仿宋" w:hAnsi="仿宋" w:eastAsia="仿宋"/>
                <w:sz w:val="24"/>
                <w:szCs w:val="24"/>
              </w:rPr>
            </w:pPr>
            <w:r>
              <w:rPr>
                <w:rFonts w:hint="eastAsia" w:ascii="仿宋" w:hAnsi="仿宋" w:eastAsia="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restart"/>
            <w:vAlign w:val="center"/>
          </w:tcPr>
          <w:p>
            <w:pPr>
              <w:spacing w:line="360" w:lineRule="auto"/>
              <w:rPr>
                <w:rFonts w:ascii="仿宋" w:hAnsi="仿宋" w:eastAsia="仿宋"/>
                <w:sz w:val="24"/>
                <w:szCs w:val="24"/>
              </w:rPr>
            </w:pPr>
            <w:r>
              <w:rPr>
                <w:rFonts w:hint="eastAsia" w:ascii="仿宋" w:hAnsi="仿宋" w:eastAsia="仿宋"/>
                <w:sz w:val="24"/>
                <w:szCs w:val="24"/>
              </w:rPr>
              <w:t>本次</w:t>
            </w:r>
          </w:p>
          <w:p>
            <w:pPr>
              <w:spacing w:line="360" w:lineRule="auto"/>
              <w:rPr>
                <w:rFonts w:ascii="仿宋" w:hAnsi="仿宋" w:eastAsia="仿宋"/>
                <w:sz w:val="24"/>
                <w:szCs w:val="24"/>
              </w:rPr>
            </w:pPr>
            <w:r>
              <w:rPr>
                <w:rFonts w:hint="eastAsia" w:ascii="仿宋" w:hAnsi="仿宋" w:eastAsia="仿宋"/>
                <w:sz w:val="24"/>
                <w:szCs w:val="24"/>
              </w:rPr>
              <w:t>响应</w:t>
            </w:r>
          </w:p>
          <w:p>
            <w:pPr>
              <w:spacing w:line="360" w:lineRule="auto"/>
              <w:rPr>
                <w:rFonts w:ascii="仿宋" w:hAnsi="仿宋" w:eastAsia="仿宋"/>
                <w:sz w:val="24"/>
                <w:szCs w:val="24"/>
              </w:rPr>
            </w:pPr>
            <w:r>
              <w:rPr>
                <w:rFonts w:hint="eastAsia" w:ascii="仿宋" w:hAnsi="仿宋" w:eastAsia="仿宋"/>
                <w:sz w:val="24"/>
                <w:szCs w:val="24"/>
              </w:rPr>
              <w:t>产品</w:t>
            </w:r>
          </w:p>
          <w:p>
            <w:pPr>
              <w:spacing w:line="360" w:lineRule="auto"/>
              <w:rPr>
                <w:rFonts w:ascii="仿宋" w:hAnsi="仿宋" w:eastAsia="仿宋"/>
                <w:sz w:val="24"/>
                <w:szCs w:val="24"/>
              </w:rPr>
            </w:pPr>
            <w:r>
              <w:rPr>
                <w:rFonts w:hint="eastAsia" w:ascii="仿宋" w:hAnsi="仿宋" w:eastAsia="仿宋"/>
                <w:sz w:val="24"/>
                <w:szCs w:val="24"/>
              </w:rPr>
              <w:t>情况</w:t>
            </w:r>
          </w:p>
        </w:tc>
        <w:tc>
          <w:tcPr>
            <w:tcW w:w="1559" w:type="dxa"/>
            <w:gridSpan w:val="2"/>
            <w:vAlign w:val="center"/>
          </w:tcPr>
          <w:p>
            <w:pPr>
              <w:spacing w:line="360" w:lineRule="auto"/>
              <w:jc w:val="center"/>
              <w:rPr>
                <w:rFonts w:ascii="仿宋" w:hAnsi="仿宋" w:eastAsia="仿宋"/>
                <w:sz w:val="24"/>
                <w:szCs w:val="24"/>
              </w:rPr>
            </w:pPr>
            <w:r>
              <w:rPr>
                <w:rFonts w:hint="eastAsia" w:ascii="仿宋" w:hAnsi="仿宋" w:eastAsia="仿宋"/>
                <w:sz w:val="24"/>
                <w:szCs w:val="24"/>
              </w:rPr>
              <w:t>本次响应产品名称</w:t>
            </w:r>
          </w:p>
        </w:tc>
        <w:tc>
          <w:tcPr>
            <w:tcW w:w="1561"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型    号</w:t>
            </w:r>
          </w:p>
        </w:tc>
        <w:tc>
          <w:tcPr>
            <w:tcW w:w="1135"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上年产销量</w:t>
            </w:r>
          </w:p>
        </w:tc>
        <w:tc>
          <w:tcPr>
            <w:tcW w:w="1263" w:type="dxa"/>
            <w:gridSpan w:val="3"/>
            <w:vAlign w:val="center"/>
          </w:tcPr>
          <w:p>
            <w:pPr>
              <w:spacing w:line="360" w:lineRule="auto"/>
              <w:jc w:val="center"/>
              <w:rPr>
                <w:rFonts w:ascii="仿宋" w:hAnsi="仿宋" w:eastAsia="仿宋"/>
                <w:sz w:val="24"/>
                <w:szCs w:val="24"/>
              </w:rPr>
            </w:pPr>
            <w:r>
              <w:rPr>
                <w:rFonts w:hint="eastAsia" w:ascii="仿宋" w:hAnsi="仿宋" w:eastAsia="仿宋"/>
                <w:sz w:val="24"/>
                <w:szCs w:val="24"/>
              </w:rPr>
              <w:t>产品技术</w:t>
            </w:r>
          </w:p>
          <w:p>
            <w:pPr>
              <w:spacing w:line="360" w:lineRule="auto"/>
              <w:jc w:val="center"/>
              <w:rPr>
                <w:rFonts w:ascii="仿宋" w:hAnsi="仿宋" w:eastAsia="仿宋"/>
                <w:sz w:val="24"/>
                <w:szCs w:val="24"/>
              </w:rPr>
            </w:pPr>
            <w:r>
              <w:rPr>
                <w:rFonts w:hint="eastAsia" w:ascii="仿宋" w:hAnsi="仿宋" w:eastAsia="仿宋"/>
                <w:sz w:val="24"/>
                <w:szCs w:val="24"/>
              </w:rPr>
              <w:t>先进水平</w:t>
            </w:r>
          </w:p>
        </w:tc>
        <w:tc>
          <w:tcPr>
            <w:tcW w:w="1273" w:type="dxa"/>
            <w:gridSpan w:val="2"/>
            <w:vAlign w:val="center"/>
          </w:tcPr>
          <w:p>
            <w:pPr>
              <w:spacing w:line="360" w:lineRule="auto"/>
              <w:jc w:val="center"/>
              <w:rPr>
                <w:rFonts w:ascii="仿宋" w:hAnsi="仿宋" w:eastAsia="仿宋"/>
                <w:sz w:val="24"/>
                <w:szCs w:val="24"/>
              </w:rPr>
            </w:pPr>
            <w:r>
              <w:rPr>
                <w:rFonts w:hint="eastAsia" w:ascii="仿宋" w:hAnsi="仿宋" w:eastAsia="仿宋"/>
                <w:sz w:val="24"/>
                <w:szCs w:val="24"/>
              </w:rPr>
              <w:t>曾获何级</w:t>
            </w:r>
          </w:p>
          <w:p>
            <w:pPr>
              <w:spacing w:line="360" w:lineRule="auto"/>
              <w:jc w:val="center"/>
              <w:rPr>
                <w:rFonts w:ascii="仿宋" w:hAnsi="仿宋" w:eastAsia="仿宋"/>
                <w:sz w:val="24"/>
                <w:szCs w:val="24"/>
              </w:rPr>
            </w:pPr>
            <w:r>
              <w:rPr>
                <w:rFonts w:hint="eastAsia" w:ascii="仿宋" w:hAnsi="仿宋" w:eastAsia="仿宋"/>
                <w:sz w:val="24"/>
                <w:szCs w:val="24"/>
              </w:rPr>
              <w:t>何种奖励</w:t>
            </w:r>
          </w:p>
        </w:tc>
        <w:tc>
          <w:tcPr>
            <w:tcW w:w="2001" w:type="dxa"/>
            <w:gridSpan w:val="2"/>
            <w:vAlign w:val="center"/>
          </w:tcPr>
          <w:p>
            <w:pPr>
              <w:spacing w:line="360" w:lineRule="auto"/>
              <w:jc w:val="center"/>
              <w:rPr>
                <w:rFonts w:ascii="仿宋" w:hAnsi="仿宋" w:eastAsia="仿宋"/>
                <w:sz w:val="24"/>
                <w:szCs w:val="24"/>
              </w:rPr>
            </w:pPr>
            <w:r>
              <w:rPr>
                <w:rFonts w:hint="eastAsia" w:ascii="仿宋" w:hAnsi="仿宋" w:eastAsia="仿宋"/>
                <w:sz w:val="24"/>
                <w:szCs w:val="24"/>
              </w:rPr>
              <w:t>主要用户名称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pPr>
              <w:spacing w:line="360" w:lineRule="auto"/>
              <w:rPr>
                <w:rFonts w:ascii="仿宋" w:hAnsi="仿宋" w:eastAsia="仿宋"/>
                <w:sz w:val="24"/>
                <w:szCs w:val="24"/>
              </w:rPr>
            </w:pPr>
          </w:p>
        </w:tc>
        <w:tc>
          <w:tcPr>
            <w:tcW w:w="1559" w:type="dxa"/>
            <w:gridSpan w:val="2"/>
            <w:vAlign w:val="center"/>
          </w:tcPr>
          <w:p>
            <w:pPr>
              <w:spacing w:line="360" w:lineRule="auto"/>
              <w:rPr>
                <w:rFonts w:ascii="仿宋" w:hAnsi="仿宋" w:eastAsia="仿宋"/>
                <w:sz w:val="24"/>
                <w:szCs w:val="24"/>
              </w:rPr>
            </w:pPr>
          </w:p>
        </w:tc>
        <w:tc>
          <w:tcPr>
            <w:tcW w:w="1561" w:type="dxa"/>
            <w:vAlign w:val="center"/>
          </w:tcPr>
          <w:p>
            <w:pPr>
              <w:spacing w:line="360" w:lineRule="auto"/>
              <w:rPr>
                <w:rFonts w:ascii="仿宋" w:hAnsi="仿宋" w:eastAsia="仿宋"/>
                <w:sz w:val="24"/>
                <w:szCs w:val="24"/>
              </w:rPr>
            </w:pPr>
          </w:p>
        </w:tc>
        <w:tc>
          <w:tcPr>
            <w:tcW w:w="1135" w:type="dxa"/>
            <w:vAlign w:val="center"/>
          </w:tcPr>
          <w:p>
            <w:pPr>
              <w:spacing w:line="360" w:lineRule="auto"/>
              <w:rPr>
                <w:rFonts w:ascii="仿宋" w:hAnsi="仿宋" w:eastAsia="仿宋"/>
                <w:sz w:val="24"/>
                <w:szCs w:val="24"/>
              </w:rPr>
            </w:pPr>
          </w:p>
        </w:tc>
        <w:tc>
          <w:tcPr>
            <w:tcW w:w="1263" w:type="dxa"/>
            <w:gridSpan w:val="3"/>
            <w:vAlign w:val="center"/>
          </w:tcPr>
          <w:p>
            <w:pPr>
              <w:spacing w:line="360" w:lineRule="auto"/>
              <w:rPr>
                <w:rFonts w:ascii="仿宋" w:hAnsi="仿宋" w:eastAsia="仿宋"/>
                <w:sz w:val="24"/>
                <w:szCs w:val="24"/>
              </w:rPr>
            </w:pPr>
          </w:p>
        </w:tc>
        <w:tc>
          <w:tcPr>
            <w:tcW w:w="1273" w:type="dxa"/>
            <w:gridSpan w:val="2"/>
            <w:vAlign w:val="center"/>
          </w:tcPr>
          <w:p>
            <w:pPr>
              <w:spacing w:line="360" w:lineRule="auto"/>
              <w:rPr>
                <w:rFonts w:ascii="仿宋" w:hAnsi="仿宋" w:eastAsia="仿宋"/>
                <w:sz w:val="24"/>
                <w:szCs w:val="24"/>
              </w:rPr>
            </w:pPr>
          </w:p>
        </w:tc>
        <w:tc>
          <w:tcPr>
            <w:tcW w:w="2001" w:type="dxa"/>
            <w:gridSpan w:val="2"/>
            <w:vAlign w:val="center"/>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pPr>
              <w:spacing w:line="360" w:lineRule="auto"/>
              <w:rPr>
                <w:rFonts w:ascii="仿宋" w:hAnsi="仿宋" w:eastAsia="仿宋"/>
                <w:sz w:val="24"/>
                <w:szCs w:val="24"/>
              </w:rPr>
            </w:pPr>
          </w:p>
        </w:tc>
        <w:tc>
          <w:tcPr>
            <w:tcW w:w="1559" w:type="dxa"/>
            <w:gridSpan w:val="2"/>
            <w:vAlign w:val="center"/>
          </w:tcPr>
          <w:p>
            <w:pPr>
              <w:spacing w:line="360" w:lineRule="auto"/>
              <w:rPr>
                <w:rFonts w:ascii="仿宋" w:hAnsi="仿宋" w:eastAsia="仿宋"/>
                <w:sz w:val="24"/>
                <w:szCs w:val="24"/>
              </w:rPr>
            </w:pPr>
          </w:p>
        </w:tc>
        <w:tc>
          <w:tcPr>
            <w:tcW w:w="1561" w:type="dxa"/>
            <w:vAlign w:val="center"/>
          </w:tcPr>
          <w:p>
            <w:pPr>
              <w:spacing w:line="360" w:lineRule="auto"/>
              <w:rPr>
                <w:rFonts w:ascii="仿宋" w:hAnsi="仿宋" w:eastAsia="仿宋"/>
                <w:sz w:val="24"/>
                <w:szCs w:val="24"/>
              </w:rPr>
            </w:pPr>
          </w:p>
        </w:tc>
        <w:tc>
          <w:tcPr>
            <w:tcW w:w="1135" w:type="dxa"/>
            <w:vAlign w:val="center"/>
          </w:tcPr>
          <w:p>
            <w:pPr>
              <w:spacing w:line="360" w:lineRule="auto"/>
              <w:rPr>
                <w:rFonts w:ascii="仿宋" w:hAnsi="仿宋" w:eastAsia="仿宋"/>
                <w:sz w:val="24"/>
                <w:szCs w:val="24"/>
              </w:rPr>
            </w:pPr>
          </w:p>
        </w:tc>
        <w:tc>
          <w:tcPr>
            <w:tcW w:w="1263" w:type="dxa"/>
            <w:gridSpan w:val="3"/>
            <w:vAlign w:val="center"/>
          </w:tcPr>
          <w:p>
            <w:pPr>
              <w:spacing w:line="360" w:lineRule="auto"/>
              <w:rPr>
                <w:rFonts w:ascii="仿宋" w:hAnsi="仿宋" w:eastAsia="仿宋"/>
                <w:sz w:val="24"/>
                <w:szCs w:val="24"/>
              </w:rPr>
            </w:pPr>
          </w:p>
        </w:tc>
        <w:tc>
          <w:tcPr>
            <w:tcW w:w="1273" w:type="dxa"/>
            <w:gridSpan w:val="2"/>
            <w:vAlign w:val="center"/>
          </w:tcPr>
          <w:p>
            <w:pPr>
              <w:spacing w:line="360" w:lineRule="auto"/>
              <w:rPr>
                <w:rFonts w:ascii="仿宋" w:hAnsi="仿宋" w:eastAsia="仿宋"/>
                <w:sz w:val="24"/>
                <w:szCs w:val="24"/>
              </w:rPr>
            </w:pPr>
          </w:p>
        </w:tc>
        <w:tc>
          <w:tcPr>
            <w:tcW w:w="2001" w:type="dxa"/>
            <w:gridSpan w:val="2"/>
            <w:vAlign w:val="center"/>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pPr>
              <w:spacing w:line="360" w:lineRule="auto"/>
              <w:rPr>
                <w:rFonts w:ascii="仿宋" w:hAnsi="仿宋" w:eastAsia="仿宋"/>
                <w:sz w:val="24"/>
                <w:szCs w:val="24"/>
              </w:rPr>
            </w:pPr>
          </w:p>
        </w:tc>
        <w:tc>
          <w:tcPr>
            <w:tcW w:w="1559" w:type="dxa"/>
            <w:gridSpan w:val="2"/>
            <w:vAlign w:val="center"/>
          </w:tcPr>
          <w:p>
            <w:pPr>
              <w:spacing w:line="360" w:lineRule="auto"/>
              <w:rPr>
                <w:rFonts w:ascii="仿宋" w:hAnsi="仿宋" w:eastAsia="仿宋"/>
                <w:sz w:val="24"/>
                <w:szCs w:val="24"/>
              </w:rPr>
            </w:pPr>
          </w:p>
        </w:tc>
        <w:tc>
          <w:tcPr>
            <w:tcW w:w="1561" w:type="dxa"/>
            <w:vAlign w:val="center"/>
          </w:tcPr>
          <w:p>
            <w:pPr>
              <w:spacing w:line="360" w:lineRule="auto"/>
              <w:rPr>
                <w:rFonts w:ascii="仿宋" w:hAnsi="仿宋" w:eastAsia="仿宋"/>
                <w:sz w:val="24"/>
                <w:szCs w:val="24"/>
              </w:rPr>
            </w:pPr>
          </w:p>
        </w:tc>
        <w:tc>
          <w:tcPr>
            <w:tcW w:w="1135" w:type="dxa"/>
            <w:vAlign w:val="center"/>
          </w:tcPr>
          <w:p>
            <w:pPr>
              <w:spacing w:line="360" w:lineRule="auto"/>
              <w:rPr>
                <w:rFonts w:ascii="仿宋" w:hAnsi="仿宋" w:eastAsia="仿宋"/>
                <w:sz w:val="24"/>
                <w:szCs w:val="24"/>
              </w:rPr>
            </w:pPr>
          </w:p>
        </w:tc>
        <w:tc>
          <w:tcPr>
            <w:tcW w:w="1263" w:type="dxa"/>
            <w:gridSpan w:val="3"/>
            <w:vAlign w:val="center"/>
          </w:tcPr>
          <w:p>
            <w:pPr>
              <w:spacing w:line="360" w:lineRule="auto"/>
              <w:rPr>
                <w:rFonts w:ascii="仿宋" w:hAnsi="仿宋" w:eastAsia="仿宋"/>
                <w:sz w:val="24"/>
                <w:szCs w:val="24"/>
              </w:rPr>
            </w:pPr>
          </w:p>
        </w:tc>
        <w:tc>
          <w:tcPr>
            <w:tcW w:w="1273" w:type="dxa"/>
            <w:gridSpan w:val="2"/>
            <w:vAlign w:val="center"/>
          </w:tcPr>
          <w:p>
            <w:pPr>
              <w:spacing w:line="360" w:lineRule="auto"/>
              <w:rPr>
                <w:rFonts w:ascii="仿宋" w:hAnsi="仿宋" w:eastAsia="仿宋"/>
                <w:sz w:val="24"/>
                <w:szCs w:val="24"/>
              </w:rPr>
            </w:pPr>
          </w:p>
        </w:tc>
        <w:tc>
          <w:tcPr>
            <w:tcW w:w="2001" w:type="dxa"/>
            <w:gridSpan w:val="2"/>
            <w:vAlign w:val="center"/>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pPr>
              <w:spacing w:line="360" w:lineRule="auto"/>
              <w:rPr>
                <w:rFonts w:ascii="仿宋" w:hAnsi="仿宋" w:eastAsia="仿宋"/>
                <w:sz w:val="24"/>
                <w:szCs w:val="24"/>
              </w:rPr>
            </w:pPr>
          </w:p>
        </w:tc>
        <w:tc>
          <w:tcPr>
            <w:tcW w:w="1559" w:type="dxa"/>
            <w:gridSpan w:val="2"/>
            <w:vAlign w:val="center"/>
          </w:tcPr>
          <w:p>
            <w:pPr>
              <w:spacing w:line="360" w:lineRule="auto"/>
              <w:rPr>
                <w:rFonts w:ascii="仿宋" w:hAnsi="仿宋" w:eastAsia="仿宋"/>
                <w:sz w:val="24"/>
                <w:szCs w:val="24"/>
              </w:rPr>
            </w:pPr>
          </w:p>
        </w:tc>
        <w:tc>
          <w:tcPr>
            <w:tcW w:w="1561" w:type="dxa"/>
            <w:vAlign w:val="center"/>
          </w:tcPr>
          <w:p>
            <w:pPr>
              <w:spacing w:line="360" w:lineRule="auto"/>
              <w:rPr>
                <w:rFonts w:ascii="仿宋" w:hAnsi="仿宋" w:eastAsia="仿宋"/>
                <w:sz w:val="24"/>
                <w:szCs w:val="24"/>
              </w:rPr>
            </w:pPr>
          </w:p>
        </w:tc>
        <w:tc>
          <w:tcPr>
            <w:tcW w:w="1135" w:type="dxa"/>
            <w:vAlign w:val="center"/>
          </w:tcPr>
          <w:p>
            <w:pPr>
              <w:spacing w:line="360" w:lineRule="auto"/>
              <w:rPr>
                <w:rFonts w:ascii="仿宋" w:hAnsi="仿宋" w:eastAsia="仿宋"/>
                <w:sz w:val="24"/>
                <w:szCs w:val="24"/>
              </w:rPr>
            </w:pPr>
          </w:p>
        </w:tc>
        <w:tc>
          <w:tcPr>
            <w:tcW w:w="1263" w:type="dxa"/>
            <w:gridSpan w:val="3"/>
            <w:vAlign w:val="center"/>
          </w:tcPr>
          <w:p>
            <w:pPr>
              <w:spacing w:line="360" w:lineRule="auto"/>
              <w:rPr>
                <w:rFonts w:ascii="仿宋" w:hAnsi="仿宋" w:eastAsia="仿宋"/>
                <w:sz w:val="24"/>
                <w:szCs w:val="24"/>
              </w:rPr>
            </w:pPr>
          </w:p>
        </w:tc>
        <w:tc>
          <w:tcPr>
            <w:tcW w:w="1273" w:type="dxa"/>
            <w:gridSpan w:val="2"/>
            <w:vAlign w:val="center"/>
          </w:tcPr>
          <w:p>
            <w:pPr>
              <w:spacing w:line="360" w:lineRule="auto"/>
              <w:rPr>
                <w:rFonts w:ascii="仿宋" w:hAnsi="仿宋" w:eastAsia="仿宋"/>
                <w:sz w:val="24"/>
                <w:szCs w:val="24"/>
              </w:rPr>
            </w:pPr>
          </w:p>
        </w:tc>
        <w:tc>
          <w:tcPr>
            <w:tcW w:w="2001" w:type="dxa"/>
            <w:gridSpan w:val="2"/>
            <w:vAlign w:val="center"/>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restart"/>
            <w:vAlign w:val="center"/>
          </w:tcPr>
          <w:p>
            <w:pPr>
              <w:spacing w:line="360" w:lineRule="auto"/>
              <w:rPr>
                <w:rFonts w:ascii="仿宋" w:hAnsi="仿宋" w:eastAsia="仿宋"/>
                <w:sz w:val="24"/>
                <w:szCs w:val="24"/>
              </w:rPr>
            </w:pPr>
            <w:r>
              <w:rPr>
                <w:rFonts w:hint="eastAsia" w:ascii="仿宋" w:hAnsi="仿宋" w:eastAsia="仿宋"/>
                <w:sz w:val="24"/>
                <w:szCs w:val="24"/>
              </w:rPr>
              <w:t>其它</w:t>
            </w:r>
          </w:p>
        </w:tc>
        <w:tc>
          <w:tcPr>
            <w:tcW w:w="5106" w:type="dxa"/>
            <w:gridSpan w:val="5"/>
            <w:vAlign w:val="center"/>
          </w:tcPr>
          <w:p>
            <w:pPr>
              <w:spacing w:line="360" w:lineRule="auto"/>
              <w:rPr>
                <w:rFonts w:ascii="仿宋" w:hAnsi="仿宋" w:eastAsia="仿宋"/>
                <w:sz w:val="24"/>
                <w:szCs w:val="24"/>
              </w:rPr>
            </w:pPr>
            <w:r>
              <w:rPr>
                <w:rFonts w:hint="eastAsia" w:ascii="仿宋" w:hAnsi="仿宋" w:eastAsia="仿宋"/>
                <w:sz w:val="24"/>
                <w:szCs w:val="24"/>
              </w:rPr>
              <w:t>近3年完成及正在执行的合同中发生的由于供应商违约或部分违约而引起诉讼和受到索赔的案件具体情况及结果（须如实填写，若对此进行隐瞒，后又被采购人发现，或被它人举证成立，其响应资格将被取消）。</w:t>
            </w:r>
          </w:p>
        </w:tc>
        <w:tc>
          <w:tcPr>
            <w:tcW w:w="3686" w:type="dxa"/>
            <w:gridSpan w:val="6"/>
            <w:vAlign w:val="center"/>
          </w:tcPr>
          <w:p>
            <w:pPr>
              <w:spacing w:line="360" w:lineRule="auto"/>
              <w:rPr>
                <w:rFonts w:ascii="仿宋" w:hAnsi="仿宋" w:eastAsia="仿宋"/>
                <w:sz w:val="24"/>
                <w:szCs w:val="24"/>
              </w:rPr>
            </w:pPr>
            <w:r>
              <w:rPr>
                <w:rFonts w:hint="eastAsia" w:ascii="仿宋" w:hAnsi="仿宋" w:eastAsia="仿宋"/>
                <w:sz w:val="24"/>
                <w:szCs w:val="24"/>
              </w:rPr>
              <w:t>如有名称变更（非因该单位出现了与资格预审（如果经此程序）时的营业性质的根本改变以至不再满足本次磋商的要求），说明原名称因何种原因变更为现名称，并提供由市场监督管理部门出具的变更证明文件。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815" w:type="dxa"/>
            <w:vMerge w:val="continue"/>
            <w:vAlign w:val="center"/>
          </w:tcPr>
          <w:p>
            <w:pPr>
              <w:spacing w:line="360" w:lineRule="auto"/>
              <w:rPr>
                <w:rFonts w:ascii="仿宋" w:hAnsi="仿宋" w:eastAsia="仿宋"/>
                <w:sz w:val="24"/>
                <w:szCs w:val="24"/>
              </w:rPr>
            </w:pPr>
          </w:p>
        </w:tc>
        <w:tc>
          <w:tcPr>
            <w:tcW w:w="5106" w:type="dxa"/>
            <w:gridSpan w:val="5"/>
            <w:vAlign w:val="center"/>
          </w:tcPr>
          <w:p>
            <w:pPr>
              <w:spacing w:line="360" w:lineRule="auto"/>
              <w:rPr>
                <w:rFonts w:ascii="仿宋" w:hAnsi="仿宋" w:eastAsia="仿宋"/>
                <w:sz w:val="24"/>
                <w:szCs w:val="24"/>
              </w:rPr>
            </w:pPr>
          </w:p>
        </w:tc>
        <w:tc>
          <w:tcPr>
            <w:tcW w:w="3686" w:type="dxa"/>
            <w:gridSpan w:val="6"/>
            <w:vAlign w:val="center"/>
          </w:tcPr>
          <w:p>
            <w:pPr>
              <w:spacing w:line="360" w:lineRule="auto"/>
              <w:rPr>
                <w:rFonts w:ascii="仿宋" w:hAnsi="仿宋" w:eastAsia="仿宋"/>
                <w:sz w:val="24"/>
                <w:szCs w:val="24"/>
              </w:rPr>
            </w:pPr>
          </w:p>
        </w:tc>
      </w:tr>
    </w:tbl>
    <w:p>
      <w:pPr>
        <w:widowControl/>
        <w:jc w:val="left"/>
        <w:rPr>
          <w:rFonts w:ascii="仿宋" w:hAnsi="仿宋" w:eastAsia="仿宋"/>
          <w:sz w:val="28"/>
          <w:szCs w:val="28"/>
        </w:rPr>
      </w:pPr>
      <w:r>
        <w:rPr>
          <w:rFonts w:ascii="仿宋" w:hAnsi="仿宋" w:eastAsia="仿宋"/>
          <w:sz w:val="28"/>
          <w:szCs w:val="28"/>
        </w:rPr>
        <w:br w:type="page"/>
      </w:r>
    </w:p>
    <w:p>
      <w:pPr>
        <w:widowControl/>
        <w:shd w:val="clear" w:color="auto" w:fill="FFFFFF"/>
        <w:spacing w:line="600" w:lineRule="exact"/>
        <w:jc w:val="center"/>
        <w:rPr>
          <w:rFonts w:ascii="方正大标宋简体" w:hAnsi="仿宋" w:eastAsia="方正大标宋简体" w:cs="仿宋"/>
          <w:bCs/>
          <w:sz w:val="36"/>
          <w:szCs w:val="36"/>
        </w:rPr>
      </w:pPr>
      <w:bookmarkStart w:id="6" w:name="_Hlk178079780"/>
      <w:r>
        <w:rPr>
          <w:rFonts w:hint="eastAsia" w:ascii="方正大标宋简体" w:hAnsi="仿宋" w:eastAsia="方正大标宋简体" w:cs="仿宋"/>
          <w:bCs/>
          <w:sz w:val="36"/>
          <w:szCs w:val="36"/>
        </w:rPr>
        <w:t>商务部分（技术部分）正负偏离表</w:t>
      </w:r>
    </w:p>
    <w:bookmarkEnd w:id="6"/>
    <w:p>
      <w:pPr>
        <w:spacing w:line="360" w:lineRule="auto"/>
        <w:jc w:val="center"/>
        <w:rPr>
          <w:rFonts w:ascii="仿宋" w:hAnsi="仿宋" w:eastAsia="仿宋"/>
          <w:sz w:val="28"/>
          <w:szCs w:val="28"/>
        </w:rPr>
      </w:pPr>
      <w:r>
        <w:rPr>
          <w:rFonts w:hint="eastAsia" w:ascii="仿宋" w:hAnsi="仿宋" w:eastAsia="仿宋"/>
          <w:sz w:val="28"/>
          <w:szCs w:val="28"/>
        </w:rPr>
        <w:t>（由供应商据实提交，表格不够自行添加）</w:t>
      </w:r>
    </w:p>
    <w:tbl>
      <w:tblPr>
        <w:tblStyle w:val="8"/>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586"/>
        <w:gridCol w:w="2706"/>
        <w:gridCol w:w="272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49" w:type="dxa"/>
            <w:vAlign w:val="center"/>
          </w:tcPr>
          <w:p>
            <w:pPr>
              <w:spacing w:line="360" w:lineRule="auto"/>
              <w:jc w:val="center"/>
              <w:rPr>
                <w:rFonts w:ascii="仿宋" w:hAnsi="仿宋" w:eastAsia="仿宋"/>
                <w:sz w:val="28"/>
                <w:szCs w:val="28"/>
              </w:rPr>
            </w:pPr>
            <w:r>
              <w:rPr>
                <w:rFonts w:hint="eastAsia" w:ascii="仿宋" w:hAnsi="仿宋" w:eastAsia="仿宋"/>
                <w:sz w:val="28"/>
                <w:szCs w:val="28"/>
              </w:rPr>
              <w:t>序号</w:t>
            </w:r>
          </w:p>
        </w:tc>
        <w:tc>
          <w:tcPr>
            <w:tcW w:w="1586" w:type="dxa"/>
            <w:vAlign w:val="center"/>
          </w:tcPr>
          <w:p>
            <w:pPr>
              <w:spacing w:line="360" w:lineRule="auto"/>
              <w:jc w:val="center"/>
              <w:rPr>
                <w:rFonts w:ascii="仿宋" w:hAnsi="仿宋" w:eastAsia="仿宋"/>
                <w:sz w:val="28"/>
                <w:szCs w:val="28"/>
              </w:rPr>
            </w:pPr>
            <w:r>
              <w:rPr>
                <w:rFonts w:hint="eastAsia" w:ascii="仿宋" w:hAnsi="仿宋" w:eastAsia="仿宋"/>
                <w:sz w:val="28"/>
                <w:szCs w:val="28"/>
              </w:rPr>
              <w:t>货物或服务名称</w:t>
            </w:r>
          </w:p>
        </w:tc>
        <w:tc>
          <w:tcPr>
            <w:tcW w:w="2706" w:type="dxa"/>
            <w:vAlign w:val="center"/>
          </w:tcPr>
          <w:p>
            <w:pPr>
              <w:spacing w:line="360" w:lineRule="auto"/>
              <w:jc w:val="center"/>
              <w:rPr>
                <w:rFonts w:ascii="仿宋" w:hAnsi="仿宋" w:eastAsia="仿宋"/>
                <w:sz w:val="28"/>
                <w:szCs w:val="28"/>
              </w:rPr>
            </w:pPr>
            <w:r>
              <w:rPr>
                <w:rFonts w:hint="eastAsia" w:ascii="仿宋" w:hAnsi="仿宋" w:eastAsia="仿宋"/>
                <w:sz w:val="28"/>
                <w:szCs w:val="28"/>
              </w:rPr>
              <w:t>招标文件要求</w:t>
            </w:r>
          </w:p>
        </w:tc>
        <w:tc>
          <w:tcPr>
            <w:tcW w:w="2720" w:type="dxa"/>
            <w:vAlign w:val="center"/>
          </w:tcPr>
          <w:p>
            <w:pPr>
              <w:spacing w:line="360" w:lineRule="auto"/>
              <w:jc w:val="center"/>
              <w:rPr>
                <w:rFonts w:ascii="仿宋" w:hAnsi="仿宋" w:eastAsia="仿宋"/>
                <w:sz w:val="28"/>
                <w:szCs w:val="28"/>
              </w:rPr>
            </w:pPr>
            <w:r>
              <w:rPr>
                <w:rFonts w:hint="eastAsia" w:ascii="仿宋" w:hAnsi="仿宋" w:eastAsia="仿宋"/>
                <w:sz w:val="28"/>
                <w:szCs w:val="28"/>
              </w:rPr>
              <w:t>响应文件响应情况</w:t>
            </w:r>
          </w:p>
        </w:tc>
        <w:tc>
          <w:tcPr>
            <w:tcW w:w="1417" w:type="dxa"/>
            <w:vAlign w:val="center"/>
          </w:tcPr>
          <w:p>
            <w:pPr>
              <w:spacing w:line="360" w:lineRule="auto"/>
              <w:jc w:val="center"/>
              <w:rPr>
                <w:rFonts w:ascii="仿宋" w:hAnsi="仿宋" w:eastAsia="仿宋"/>
                <w:sz w:val="28"/>
                <w:szCs w:val="28"/>
              </w:rPr>
            </w:pPr>
            <w:r>
              <w:rPr>
                <w:rFonts w:hint="eastAsia" w:ascii="仿宋" w:hAnsi="仿宋" w:eastAsia="仿宋"/>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49" w:type="dxa"/>
          </w:tcPr>
          <w:p>
            <w:pPr>
              <w:spacing w:line="360" w:lineRule="auto"/>
              <w:jc w:val="center"/>
              <w:rPr>
                <w:rFonts w:ascii="仿宋" w:hAnsi="仿宋" w:eastAsia="仿宋"/>
                <w:sz w:val="28"/>
                <w:szCs w:val="28"/>
              </w:rPr>
            </w:pPr>
            <w:r>
              <w:rPr>
                <w:rFonts w:hint="eastAsia" w:ascii="仿宋" w:hAnsi="仿宋" w:eastAsia="仿宋"/>
                <w:sz w:val="28"/>
                <w:szCs w:val="28"/>
              </w:rPr>
              <w:t>1</w:t>
            </w:r>
          </w:p>
        </w:tc>
        <w:tc>
          <w:tcPr>
            <w:tcW w:w="1586" w:type="dxa"/>
            <w:vAlign w:val="center"/>
          </w:tcPr>
          <w:p>
            <w:pPr>
              <w:spacing w:line="360" w:lineRule="auto"/>
              <w:rPr>
                <w:rFonts w:ascii="仿宋" w:hAnsi="仿宋" w:eastAsia="仿宋"/>
                <w:sz w:val="28"/>
                <w:szCs w:val="28"/>
              </w:rPr>
            </w:pPr>
          </w:p>
        </w:tc>
        <w:tc>
          <w:tcPr>
            <w:tcW w:w="2706" w:type="dxa"/>
            <w:vAlign w:val="center"/>
          </w:tcPr>
          <w:p>
            <w:pPr>
              <w:spacing w:line="360" w:lineRule="auto"/>
              <w:rPr>
                <w:rFonts w:ascii="仿宋" w:hAnsi="仿宋" w:eastAsia="仿宋"/>
                <w:sz w:val="28"/>
                <w:szCs w:val="28"/>
              </w:rPr>
            </w:pPr>
          </w:p>
        </w:tc>
        <w:tc>
          <w:tcPr>
            <w:tcW w:w="2720" w:type="dxa"/>
            <w:vAlign w:val="center"/>
          </w:tcPr>
          <w:p>
            <w:pPr>
              <w:spacing w:line="360" w:lineRule="auto"/>
              <w:rPr>
                <w:rFonts w:ascii="仿宋" w:hAnsi="仿宋" w:eastAsia="仿宋"/>
                <w:sz w:val="28"/>
                <w:szCs w:val="28"/>
              </w:rPr>
            </w:pPr>
          </w:p>
        </w:tc>
        <w:tc>
          <w:tcPr>
            <w:tcW w:w="1417" w:type="dxa"/>
          </w:tcPr>
          <w:p>
            <w:pPr>
              <w:spacing w:line="360" w:lineRule="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49" w:type="dxa"/>
          </w:tcPr>
          <w:p>
            <w:pPr>
              <w:spacing w:line="360" w:lineRule="auto"/>
              <w:jc w:val="center"/>
              <w:rPr>
                <w:rFonts w:ascii="仿宋" w:hAnsi="仿宋" w:eastAsia="仿宋"/>
                <w:sz w:val="28"/>
                <w:szCs w:val="28"/>
              </w:rPr>
            </w:pPr>
            <w:r>
              <w:rPr>
                <w:rFonts w:hint="eastAsia" w:ascii="仿宋" w:hAnsi="仿宋" w:eastAsia="仿宋"/>
                <w:sz w:val="28"/>
                <w:szCs w:val="28"/>
              </w:rPr>
              <w:t>2</w:t>
            </w:r>
          </w:p>
        </w:tc>
        <w:tc>
          <w:tcPr>
            <w:tcW w:w="1586" w:type="dxa"/>
            <w:vAlign w:val="center"/>
          </w:tcPr>
          <w:p>
            <w:pPr>
              <w:spacing w:line="360" w:lineRule="auto"/>
              <w:rPr>
                <w:rFonts w:ascii="仿宋" w:hAnsi="仿宋" w:eastAsia="仿宋"/>
                <w:sz w:val="28"/>
                <w:szCs w:val="28"/>
              </w:rPr>
            </w:pPr>
          </w:p>
        </w:tc>
        <w:tc>
          <w:tcPr>
            <w:tcW w:w="2706" w:type="dxa"/>
            <w:vAlign w:val="center"/>
          </w:tcPr>
          <w:p>
            <w:pPr>
              <w:spacing w:line="360" w:lineRule="auto"/>
              <w:rPr>
                <w:rFonts w:ascii="仿宋" w:hAnsi="仿宋" w:eastAsia="仿宋"/>
                <w:sz w:val="28"/>
                <w:szCs w:val="28"/>
              </w:rPr>
            </w:pPr>
          </w:p>
        </w:tc>
        <w:tc>
          <w:tcPr>
            <w:tcW w:w="2720" w:type="dxa"/>
            <w:vAlign w:val="center"/>
          </w:tcPr>
          <w:p>
            <w:pPr>
              <w:spacing w:line="360" w:lineRule="auto"/>
              <w:rPr>
                <w:rFonts w:ascii="仿宋" w:hAnsi="仿宋" w:eastAsia="仿宋"/>
                <w:sz w:val="28"/>
                <w:szCs w:val="28"/>
              </w:rPr>
            </w:pPr>
          </w:p>
        </w:tc>
        <w:tc>
          <w:tcPr>
            <w:tcW w:w="1417" w:type="dxa"/>
          </w:tcPr>
          <w:p>
            <w:pPr>
              <w:spacing w:line="360" w:lineRule="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9" w:type="dxa"/>
          </w:tcPr>
          <w:p>
            <w:pPr>
              <w:spacing w:line="360" w:lineRule="auto"/>
              <w:jc w:val="center"/>
              <w:rPr>
                <w:rFonts w:ascii="仿宋" w:hAnsi="仿宋" w:eastAsia="仿宋"/>
                <w:sz w:val="28"/>
                <w:szCs w:val="28"/>
              </w:rPr>
            </w:pPr>
            <w:r>
              <w:rPr>
                <w:rFonts w:hint="eastAsia" w:ascii="仿宋" w:hAnsi="仿宋" w:eastAsia="仿宋"/>
                <w:sz w:val="28"/>
                <w:szCs w:val="28"/>
              </w:rPr>
              <w:t>3</w:t>
            </w:r>
          </w:p>
        </w:tc>
        <w:tc>
          <w:tcPr>
            <w:tcW w:w="1586" w:type="dxa"/>
            <w:vAlign w:val="center"/>
          </w:tcPr>
          <w:p>
            <w:pPr>
              <w:spacing w:line="360" w:lineRule="auto"/>
              <w:rPr>
                <w:rFonts w:ascii="仿宋" w:hAnsi="仿宋" w:eastAsia="仿宋"/>
                <w:sz w:val="28"/>
                <w:szCs w:val="28"/>
              </w:rPr>
            </w:pPr>
          </w:p>
        </w:tc>
        <w:tc>
          <w:tcPr>
            <w:tcW w:w="2706" w:type="dxa"/>
            <w:vAlign w:val="center"/>
          </w:tcPr>
          <w:p>
            <w:pPr>
              <w:spacing w:line="360" w:lineRule="auto"/>
              <w:rPr>
                <w:rFonts w:ascii="仿宋" w:hAnsi="仿宋" w:eastAsia="仿宋"/>
                <w:sz w:val="28"/>
                <w:szCs w:val="28"/>
              </w:rPr>
            </w:pPr>
          </w:p>
        </w:tc>
        <w:tc>
          <w:tcPr>
            <w:tcW w:w="2720" w:type="dxa"/>
            <w:vAlign w:val="center"/>
          </w:tcPr>
          <w:p>
            <w:pPr>
              <w:spacing w:line="360" w:lineRule="auto"/>
              <w:rPr>
                <w:rFonts w:ascii="仿宋" w:hAnsi="仿宋" w:eastAsia="仿宋"/>
                <w:sz w:val="28"/>
                <w:szCs w:val="28"/>
              </w:rPr>
            </w:pPr>
          </w:p>
        </w:tc>
        <w:tc>
          <w:tcPr>
            <w:tcW w:w="1417" w:type="dxa"/>
          </w:tcPr>
          <w:p>
            <w:pPr>
              <w:spacing w:line="360" w:lineRule="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49" w:type="dxa"/>
          </w:tcPr>
          <w:p>
            <w:pPr>
              <w:spacing w:line="360" w:lineRule="auto"/>
              <w:jc w:val="center"/>
              <w:rPr>
                <w:rFonts w:ascii="仿宋" w:hAnsi="仿宋" w:eastAsia="仿宋"/>
                <w:sz w:val="28"/>
                <w:szCs w:val="28"/>
              </w:rPr>
            </w:pPr>
          </w:p>
        </w:tc>
        <w:tc>
          <w:tcPr>
            <w:tcW w:w="1586" w:type="dxa"/>
            <w:vAlign w:val="center"/>
          </w:tcPr>
          <w:p>
            <w:pPr>
              <w:spacing w:line="360" w:lineRule="auto"/>
              <w:rPr>
                <w:rFonts w:ascii="仿宋" w:hAnsi="仿宋" w:eastAsia="仿宋"/>
                <w:sz w:val="28"/>
                <w:szCs w:val="28"/>
              </w:rPr>
            </w:pPr>
          </w:p>
        </w:tc>
        <w:tc>
          <w:tcPr>
            <w:tcW w:w="2706" w:type="dxa"/>
            <w:vAlign w:val="center"/>
          </w:tcPr>
          <w:p>
            <w:pPr>
              <w:spacing w:line="360" w:lineRule="auto"/>
              <w:rPr>
                <w:rFonts w:ascii="仿宋" w:hAnsi="仿宋" w:eastAsia="仿宋"/>
                <w:sz w:val="28"/>
                <w:szCs w:val="28"/>
              </w:rPr>
            </w:pPr>
          </w:p>
        </w:tc>
        <w:tc>
          <w:tcPr>
            <w:tcW w:w="2720" w:type="dxa"/>
            <w:vAlign w:val="center"/>
          </w:tcPr>
          <w:p>
            <w:pPr>
              <w:spacing w:line="360" w:lineRule="auto"/>
              <w:rPr>
                <w:rFonts w:ascii="仿宋" w:hAnsi="仿宋" w:eastAsia="仿宋"/>
                <w:sz w:val="28"/>
                <w:szCs w:val="28"/>
              </w:rPr>
            </w:pPr>
          </w:p>
        </w:tc>
        <w:tc>
          <w:tcPr>
            <w:tcW w:w="1417" w:type="dxa"/>
          </w:tcPr>
          <w:p>
            <w:pPr>
              <w:spacing w:line="360" w:lineRule="auto"/>
              <w:rPr>
                <w:rFonts w:ascii="仿宋" w:hAnsi="仿宋" w:eastAsia="仿宋"/>
                <w:sz w:val="28"/>
                <w:szCs w:val="28"/>
              </w:rPr>
            </w:pPr>
          </w:p>
        </w:tc>
      </w:tr>
    </w:tbl>
    <w:p>
      <w:pPr>
        <w:spacing w:line="360" w:lineRule="auto"/>
        <w:rPr>
          <w:rFonts w:ascii="仿宋" w:hAnsi="仿宋" w:eastAsia="仿宋"/>
          <w:sz w:val="28"/>
          <w:szCs w:val="28"/>
        </w:rPr>
      </w:pPr>
      <w:r>
        <w:rPr>
          <w:rFonts w:hint="eastAsia" w:ascii="仿宋" w:hAnsi="仿宋" w:eastAsia="仿宋"/>
          <w:sz w:val="28"/>
          <w:szCs w:val="28"/>
        </w:rPr>
        <w:t>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1.供应商提交的响应文件中与招标文件第三部分“项目需求说明”中的商务、技术部分的要求有不同时，应逐条填列在偏离表中，否则将认为供应商接受招标文件的所有要求。完全响应部分不填。</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2.“偏离说明”一栏选择“正偏离”、“负偏离”进行填写。正偏离的确认和负偏离的是否响应招标文件，经三分之二评委认定。</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3.供应商如果虚假响应，将承担被暂停参加采购人组织政府采购活动的风险。</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4.供应商若提供其他增值服务，可以在表中自行据实填写。</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sectPr>
      <w:footerReference r:id="rId3" w:type="default"/>
      <w:pgSz w:w="11906" w:h="16838"/>
      <w:pgMar w:top="1985"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3040367"/>
    </w:sdtPr>
    <w:sdtEndPr>
      <w:rPr>
        <w:sz w:val="28"/>
        <w:szCs w:val="28"/>
      </w:rPr>
    </w:sdtEndPr>
    <w:sdtContent>
      <w:p>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4 -</w:t>
        </w:r>
        <w:r>
          <w:rPr>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87"/>
    <w:rsid w:val="00015216"/>
    <w:rsid w:val="00026D75"/>
    <w:rsid w:val="00035176"/>
    <w:rsid w:val="00042860"/>
    <w:rsid w:val="00076157"/>
    <w:rsid w:val="00083285"/>
    <w:rsid w:val="00085654"/>
    <w:rsid w:val="000856CA"/>
    <w:rsid w:val="00090C71"/>
    <w:rsid w:val="000E59C9"/>
    <w:rsid w:val="0010239C"/>
    <w:rsid w:val="00102BC4"/>
    <w:rsid w:val="00111FA2"/>
    <w:rsid w:val="00117CED"/>
    <w:rsid w:val="00126408"/>
    <w:rsid w:val="00144C83"/>
    <w:rsid w:val="00181F3D"/>
    <w:rsid w:val="001C29AB"/>
    <w:rsid w:val="001C4692"/>
    <w:rsid w:val="001E008D"/>
    <w:rsid w:val="0020528D"/>
    <w:rsid w:val="0021023E"/>
    <w:rsid w:val="002204A1"/>
    <w:rsid w:val="0022140E"/>
    <w:rsid w:val="002229A7"/>
    <w:rsid w:val="00245FC0"/>
    <w:rsid w:val="00253500"/>
    <w:rsid w:val="00273334"/>
    <w:rsid w:val="002F5884"/>
    <w:rsid w:val="0030177E"/>
    <w:rsid w:val="00314E24"/>
    <w:rsid w:val="00354A02"/>
    <w:rsid w:val="003726AF"/>
    <w:rsid w:val="00386E3D"/>
    <w:rsid w:val="00393D9E"/>
    <w:rsid w:val="00394178"/>
    <w:rsid w:val="00397A28"/>
    <w:rsid w:val="003A04A4"/>
    <w:rsid w:val="003B19B9"/>
    <w:rsid w:val="003C0C94"/>
    <w:rsid w:val="0040679B"/>
    <w:rsid w:val="00414B6D"/>
    <w:rsid w:val="0041629D"/>
    <w:rsid w:val="00443A57"/>
    <w:rsid w:val="004548F0"/>
    <w:rsid w:val="004908F1"/>
    <w:rsid w:val="004A34E1"/>
    <w:rsid w:val="00500DEE"/>
    <w:rsid w:val="00542192"/>
    <w:rsid w:val="0055099A"/>
    <w:rsid w:val="005538E8"/>
    <w:rsid w:val="00561CBF"/>
    <w:rsid w:val="005762DC"/>
    <w:rsid w:val="00597FB2"/>
    <w:rsid w:val="005A739A"/>
    <w:rsid w:val="005B6CED"/>
    <w:rsid w:val="005C3868"/>
    <w:rsid w:val="006131F6"/>
    <w:rsid w:val="006154A9"/>
    <w:rsid w:val="00622A24"/>
    <w:rsid w:val="006415F1"/>
    <w:rsid w:val="00642C07"/>
    <w:rsid w:val="00652721"/>
    <w:rsid w:val="00682EE0"/>
    <w:rsid w:val="00686443"/>
    <w:rsid w:val="006B5238"/>
    <w:rsid w:val="006D209F"/>
    <w:rsid w:val="006E2980"/>
    <w:rsid w:val="00711031"/>
    <w:rsid w:val="007123A3"/>
    <w:rsid w:val="007133E2"/>
    <w:rsid w:val="00723993"/>
    <w:rsid w:val="0072508D"/>
    <w:rsid w:val="00727941"/>
    <w:rsid w:val="00740188"/>
    <w:rsid w:val="00755B85"/>
    <w:rsid w:val="007667CD"/>
    <w:rsid w:val="007718BF"/>
    <w:rsid w:val="0078209C"/>
    <w:rsid w:val="007A571B"/>
    <w:rsid w:val="007C0C8C"/>
    <w:rsid w:val="007C2708"/>
    <w:rsid w:val="007E543F"/>
    <w:rsid w:val="007F30C4"/>
    <w:rsid w:val="00811ACC"/>
    <w:rsid w:val="0082614C"/>
    <w:rsid w:val="00862058"/>
    <w:rsid w:val="0086593C"/>
    <w:rsid w:val="00866408"/>
    <w:rsid w:val="00867858"/>
    <w:rsid w:val="00871615"/>
    <w:rsid w:val="008A5C21"/>
    <w:rsid w:val="008B4ED2"/>
    <w:rsid w:val="008D387E"/>
    <w:rsid w:val="008E06FA"/>
    <w:rsid w:val="008E3F71"/>
    <w:rsid w:val="008E5ABD"/>
    <w:rsid w:val="008F496F"/>
    <w:rsid w:val="00901D06"/>
    <w:rsid w:val="009078B0"/>
    <w:rsid w:val="00917079"/>
    <w:rsid w:val="009231E4"/>
    <w:rsid w:val="0095008D"/>
    <w:rsid w:val="00963DF2"/>
    <w:rsid w:val="00964D06"/>
    <w:rsid w:val="00966960"/>
    <w:rsid w:val="0099582E"/>
    <w:rsid w:val="009C075F"/>
    <w:rsid w:val="009C778A"/>
    <w:rsid w:val="009D232C"/>
    <w:rsid w:val="009D77C2"/>
    <w:rsid w:val="009E0AFB"/>
    <w:rsid w:val="00A03AE4"/>
    <w:rsid w:val="00A17E7E"/>
    <w:rsid w:val="00A311CC"/>
    <w:rsid w:val="00A351DC"/>
    <w:rsid w:val="00A5784B"/>
    <w:rsid w:val="00A739A7"/>
    <w:rsid w:val="00A91157"/>
    <w:rsid w:val="00AA75C0"/>
    <w:rsid w:val="00AB492A"/>
    <w:rsid w:val="00AC02B1"/>
    <w:rsid w:val="00AC0664"/>
    <w:rsid w:val="00AD2234"/>
    <w:rsid w:val="00B069BF"/>
    <w:rsid w:val="00B139E7"/>
    <w:rsid w:val="00B509BB"/>
    <w:rsid w:val="00B52D3D"/>
    <w:rsid w:val="00B75248"/>
    <w:rsid w:val="00BA65EA"/>
    <w:rsid w:val="00BC4198"/>
    <w:rsid w:val="00BC5F13"/>
    <w:rsid w:val="00BE0459"/>
    <w:rsid w:val="00BE1F8E"/>
    <w:rsid w:val="00BE7886"/>
    <w:rsid w:val="00C22087"/>
    <w:rsid w:val="00C508B4"/>
    <w:rsid w:val="00C842C2"/>
    <w:rsid w:val="00C8559A"/>
    <w:rsid w:val="00C962C5"/>
    <w:rsid w:val="00C97345"/>
    <w:rsid w:val="00C975D2"/>
    <w:rsid w:val="00CB3504"/>
    <w:rsid w:val="00CC3023"/>
    <w:rsid w:val="00CE6096"/>
    <w:rsid w:val="00CF37D9"/>
    <w:rsid w:val="00D235C2"/>
    <w:rsid w:val="00D54A43"/>
    <w:rsid w:val="00DD022C"/>
    <w:rsid w:val="00DD1A43"/>
    <w:rsid w:val="00DD2738"/>
    <w:rsid w:val="00DD737C"/>
    <w:rsid w:val="00DE20E1"/>
    <w:rsid w:val="00E103A9"/>
    <w:rsid w:val="00E11510"/>
    <w:rsid w:val="00E13BB1"/>
    <w:rsid w:val="00E1588B"/>
    <w:rsid w:val="00E3201B"/>
    <w:rsid w:val="00E74BE8"/>
    <w:rsid w:val="00E87085"/>
    <w:rsid w:val="00E96516"/>
    <w:rsid w:val="00EA1BC2"/>
    <w:rsid w:val="00EB1879"/>
    <w:rsid w:val="00EC1317"/>
    <w:rsid w:val="00ED16B3"/>
    <w:rsid w:val="00EE0127"/>
    <w:rsid w:val="00EE768B"/>
    <w:rsid w:val="00EF68BD"/>
    <w:rsid w:val="00F0023C"/>
    <w:rsid w:val="00F06256"/>
    <w:rsid w:val="00F1751B"/>
    <w:rsid w:val="00F22852"/>
    <w:rsid w:val="00F25E72"/>
    <w:rsid w:val="00F42B39"/>
    <w:rsid w:val="00F510E4"/>
    <w:rsid w:val="00F7359A"/>
    <w:rsid w:val="00F75A97"/>
    <w:rsid w:val="00F808B3"/>
    <w:rsid w:val="00FA11D8"/>
    <w:rsid w:val="00FA7F8A"/>
    <w:rsid w:val="00FD129A"/>
    <w:rsid w:val="00FF6CB9"/>
    <w:rsid w:val="016336A4"/>
    <w:rsid w:val="052E0AA7"/>
    <w:rsid w:val="05557979"/>
    <w:rsid w:val="058D294F"/>
    <w:rsid w:val="07E60F7E"/>
    <w:rsid w:val="08FE0E3F"/>
    <w:rsid w:val="093C0DBB"/>
    <w:rsid w:val="0BF67CFF"/>
    <w:rsid w:val="0C0D1A8F"/>
    <w:rsid w:val="0CEB207C"/>
    <w:rsid w:val="0F6B62C3"/>
    <w:rsid w:val="1019017A"/>
    <w:rsid w:val="11B04120"/>
    <w:rsid w:val="144C1407"/>
    <w:rsid w:val="17A82577"/>
    <w:rsid w:val="19575A56"/>
    <w:rsid w:val="1B394BDF"/>
    <w:rsid w:val="1B4E6186"/>
    <w:rsid w:val="1E7153B7"/>
    <w:rsid w:val="1F4025FE"/>
    <w:rsid w:val="2432126F"/>
    <w:rsid w:val="24C87A6A"/>
    <w:rsid w:val="24EA1D13"/>
    <w:rsid w:val="25951FF2"/>
    <w:rsid w:val="27F873C3"/>
    <w:rsid w:val="2A6F2B19"/>
    <w:rsid w:val="2B3365D0"/>
    <w:rsid w:val="2D1D5A3F"/>
    <w:rsid w:val="2F97444D"/>
    <w:rsid w:val="310111C8"/>
    <w:rsid w:val="34A14305"/>
    <w:rsid w:val="3AC54402"/>
    <w:rsid w:val="3CEF3244"/>
    <w:rsid w:val="3E327335"/>
    <w:rsid w:val="4004445C"/>
    <w:rsid w:val="40B86501"/>
    <w:rsid w:val="41CF4C32"/>
    <w:rsid w:val="44CA78A8"/>
    <w:rsid w:val="4721086C"/>
    <w:rsid w:val="49514798"/>
    <w:rsid w:val="4CD87BD1"/>
    <w:rsid w:val="4CE84BCC"/>
    <w:rsid w:val="4CF84033"/>
    <w:rsid w:val="500D56CC"/>
    <w:rsid w:val="52A92DD7"/>
    <w:rsid w:val="53FA1CD4"/>
    <w:rsid w:val="54487000"/>
    <w:rsid w:val="58E83CCA"/>
    <w:rsid w:val="5C106DFB"/>
    <w:rsid w:val="63C85ED0"/>
    <w:rsid w:val="687315A5"/>
    <w:rsid w:val="6D153A7B"/>
    <w:rsid w:val="6DC14418"/>
    <w:rsid w:val="70563B88"/>
    <w:rsid w:val="71B421A5"/>
    <w:rsid w:val="74994945"/>
    <w:rsid w:val="76B87B09"/>
    <w:rsid w:val="7A6D3777"/>
    <w:rsid w:val="7DE57A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6"/>
    <w:unhideWhenUsed/>
    <w:qFormat/>
    <w:uiPriority w:val="99"/>
    <w:pPr>
      <w:ind w:left="100" w:leftChars="2500"/>
    </w:p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框文本 字符"/>
    <w:basedOn w:val="10"/>
    <w:link w:val="4"/>
    <w:semiHidden/>
    <w:qFormat/>
    <w:uiPriority w:val="99"/>
    <w:rPr>
      <w:sz w:val="18"/>
      <w:szCs w:val="18"/>
    </w:rPr>
  </w:style>
  <w:style w:type="character" w:customStyle="1" w:styleId="16">
    <w:name w:val="日期 字符"/>
    <w:basedOn w:val="10"/>
    <w:link w:val="3"/>
    <w:semiHidden/>
    <w:qFormat/>
    <w:uiPriority w:val="99"/>
  </w:style>
  <w:style w:type="paragraph" w:customStyle="1" w:styleId="17">
    <w:name w:val="15"/>
    <w:basedOn w:val="1"/>
    <w:qFormat/>
    <w:uiPriority w:val="0"/>
    <w:pPr>
      <w:widowControl/>
      <w:jc w:val="left"/>
    </w:pPr>
    <w:rPr>
      <w:rFonts w:ascii="宋体" w:hAnsi="宋体" w:eastAsia="宋体" w:cs="宋体"/>
      <w:kern w:val="0"/>
      <w:sz w:val="24"/>
      <w:szCs w:val="24"/>
    </w:rPr>
  </w:style>
  <w:style w:type="character" w:customStyle="1" w:styleId="18">
    <w:name w:val="标题 1 字符"/>
    <w:basedOn w:val="10"/>
    <w:link w:val="2"/>
    <w:qFormat/>
    <w:uiPriority w:val="9"/>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34</Pages>
  <Words>2041</Words>
  <Characters>11634</Characters>
  <Lines>96</Lines>
  <Paragraphs>27</Paragraphs>
  <TotalTime>17</TotalTime>
  <ScaleCrop>false</ScaleCrop>
  <LinksUpToDate>false</LinksUpToDate>
  <CharactersWithSpaces>13648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2024-10-22T02:58:00Z</dcterms:created>
  <dc:creator>Windows 用户</dc:creator>
  <cp:lastModifiedBy>孙佳琪</cp:lastModifiedBy>
  <cp:lastPrinted>2024-10-18T05:46:00Z</cp:lastPrinted>
  <dcterms:modified xsi:type="dcterms:W3CDTF">2024-10-23T06:03:05Z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67711E92929C4F3495FDB96F19CF0CCA</vt:lpwstr>
  </property>
</Properties>
</file>